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4EDE" w14:textId="77777777" w:rsidR="00C22B43" w:rsidRDefault="00C22B43" w:rsidP="00C22B43">
      <w:pPr>
        <w:pStyle w:val="NormalWeb"/>
        <w:jc w:val="center"/>
      </w:pPr>
      <w:r>
        <w:rPr>
          <w:noProof/>
        </w:rPr>
        <w:drawing>
          <wp:inline distT="0" distB="0" distL="0" distR="0" wp14:anchorId="5C467B3B" wp14:editId="14B6794F">
            <wp:extent cx="2933700" cy="2265554"/>
            <wp:effectExtent l="0" t="0" r="0" b="190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4950" cy="2274242"/>
                    </a:xfrm>
                    <a:prstGeom prst="rect">
                      <a:avLst/>
                    </a:prstGeom>
                    <a:noFill/>
                    <a:ln>
                      <a:noFill/>
                    </a:ln>
                  </pic:spPr>
                </pic:pic>
              </a:graphicData>
            </a:graphic>
          </wp:inline>
        </w:drawing>
      </w:r>
    </w:p>
    <w:p w14:paraId="77E994B5" w14:textId="4B7D2132" w:rsidR="005C71BA" w:rsidRPr="001E31D9" w:rsidRDefault="005C71BA" w:rsidP="00A05A66">
      <w:pPr>
        <w:rPr>
          <w:sz w:val="40"/>
          <w:szCs w:val="40"/>
        </w:rPr>
      </w:pPr>
    </w:p>
    <w:p w14:paraId="2CB5B2E8" w14:textId="087AC71E" w:rsidR="0087561D" w:rsidRDefault="00A05A66" w:rsidP="0087561D">
      <w:pPr>
        <w:jc w:val="center"/>
        <w:rPr>
          <w:sz w:val="40"/>
          <w:szCs w:val="40"/>
        </w:rPr>
      </w:pPr>
      <w:r>
        <w:rPr>
          <w:sz w:val="40"/>
          <w:szCs w:val="40"/>
        </w:rPr>
        <w:t xml:space="preserve">European Union Carbon Border Adjustment Mechanism </w:t>
      </w:r>
    </w:p>
    <w:p w14:paraId="613811AF" w14:textId="77777777" w:rsidR="002A225B" w:rsidRPr="002A225B" w:rsidRDefault="002A225B" w:rsidP="0087561D">
      <w:pPr>
        <w:jc w:val="center"/>
        <w:rPr>
          <w:sz w:val="40"/>
          <w:szCs w:val="40"/>
        </w:rPr>
      </w:pPr>
    </w:p>
    <w:p w14:paraId="54F01582" w14:textId="77777777" w:rsidR="00D52529" w:rsidRPr="00121D2C" w:rsidRDefault="00D52529" w:rsidP="00D52529">
      <w:pPr>
        <w:jc w:val="center"/>
        <w:rPr>
          <w:i/>
          <w:iCs/>
          <w:sz w:val="40"/>
          <w:szCs w:val="40"/>
        </w:rPr>
      </w:pPr>
      <w:r w:rsidRPr="00121D2C">
        <w:rPr>
          <w:i/>
          <w:iCs/>
          <w:sz w:val="40"/>
          <w:szCs w:val="40"/>
        </w:rPr>
        <w:t>Best Practices</w:t>
      </w:r>
    </w:p>
    <w:p w14:paraId="1C6EC0BA" w14:textId="77777777" w:rsidR="00D52529" w:rsidRPr="0087561D" w:rsidRDefault="00D52529" w:rsidP="0087561D">
      <w:pPr>
        <w:jc w:val="center"/>
        <w:rPr>
          <w:b/>
          <w:bCs/>
          <w:sz w:val="36"/>
          <w:szCs w:val="36"/>
        </w:rPr>
      </w:pPr>
    </w:p>
    <w:p w14:paraId="212FDF24" w14:textId="77777777" w:rsidR="000955BE" w:rsidRDefault="000955BE"/>
    <w:p w14:paraId="6A01CB49" w14:textId="49B2B0D3" w:rsidR="002A7A83" w:rsidRDefault="002A7A83">
      <w:pPr>
        <w:spacing w:before="0" w:after="160" w:line="259" w:lineRule="auto"/>
      </w:pPr>
      <w:r>
        <w:br w:type="page"/>
      </w:r>
    </w:p>
    <w:p w14:paraId="69DA81A0" w14:textId="16224D95" w:rsidR="000955BE" w:rsidRDefault="000955BE" w:rsidP="001732FF">
      <w:pPr>
        <w:pStyle w:val="Heading1"/>
      </w:pPr>
      <w:bookmarkStart w:id="0" w:name="_Toc227708047"/>
      <w:r>
        <w:lastRenderedPageBreak/>
        <w:t>Executive Summary</w:t>
      </w:r>
      <w:bookmarkEnd w:id="0"/>
    </w:p>
    <w:p w14:paraId="029068FC" w14:textId="385DF94E" w:rsidR="00F3573E" w:rsidRPr="0041204F" w:rsidRDefault="00F3573E" w:rsidP="005D11EB">
      <w:pPr>
        <w:autoSpaceDE w:val="0"/>
        <w:autoSpaceDN w:val="0"/>
        <w:adjustRightInd w:val="0"/>
        <w:spacing w:before="0" w:after="0" w:line="240" w:lineRule="auto"/>
        <w:jc w:val="both"/>
        <w:rPr>
          <w:rFonts w:cs="Arial"/>
          <w:color w:val="0D0D0D"/>
          <w14:ligatures w14:val="standardContextual"/>
        </w:rPr>
      </w:pPr>
      <w:r w:rsidRPr="0041204F">
        <w:rPr>
          <w:rFonts w:eastAsia="Calibri" w:cs="Arial"/>
        </w:rPr>
        <w:t xml:space="preserve">The Association of Equipment Manufacturers (AEM) is the North American-based international trade group representing nonroad equipment manufacturers and suppliers with more than 1,000 member companies and over 200 different machine forms across five diverse industry sectors. Our members design </w:t>
      </w:r>
      <w:r w:rsidRPr="0041204F">
        <w:rPr>
          <w:rFonts w:cs="Arial"/>
          <w:color w:val="0D0D0D"/>
          <w14:ligatures w14:val="standardContextual"/>
        </w:rPr>
        <w:t xml:space="preserve">products to satisfy various safety, regulatory, durability, quality, and customer requirements to effectively operate in various extreme and demanding environments with lifespans measured in decades. </w:t>
      </w:r>
    </w:p>
    <w:p w14:paraId="1BA5CA8C" w14:textId="77777777" w:rsidR="00F3573E" w:rsidRPr="0041204F" w:rsidRDefault="00F3573E" w:rsidP="005D11EB">
      <w:pPr>
        <w:autoSpaceDE w:val="0"/>
        <w:autoSpaceDN w:val="0"/>
        <w:adjustRightInd w:val="0"/>
        <w:spacing w:before="0" w:after="0" w:line="240" w:lineRule="auto"/>
        <w:jc w:val="both"/>
        <w:rPr>
          <w:rFonts w:cs="Arial"/>
          <w:color w:val="0D0D0D"/>
          <w14:ligatures w14:val="standardContextual"/>
        </w:rPr>
      </w:pPr>
    </w:p>
    <w:p w14:paraId="6318456A" w14:textId="32496E35" w:rsidR="00F3573E" w:rsidRPr="0041204F" w:rsidRDefault="00700FA0" w:rsidP="005D11EB">
      <w:pPr>
        <w:spacing w:before="0" w:after="120" w:line="240" w:lineRule="auto"/>
        <w:jc w:val="both"/>
        <w:rPr>
          <w:rFonts w:cs="Arial"/>
          <w:i/>
          <w:iCs/>
        </w:rPr>
      </w:pPr>
      <w:r w:rsidRPr="0041204F">
        <w:rPr>
          <w:rFonts w:cs="Arial"/>
        </w:rPr>
        <w:t>AEM recognize</w:t>
      </w:r>
      <w:r w:rsidR="0078574A" w:rsidRPr="0041204F">
        <w:rPr>
          <w:rFonts w:cs="Arial"/>
        </w:rPr>
        <w:t>s</w:t>
      </w:r>
      <w:r w:rsidRPr="0041204F">
        <w:rPr>
          <w:rFonts w:cs="Arial"/>
        </w:rPr>
        <w:t xml:space="preserve"> the importance of identifying, addressing, and educating manufacturers, suppliers, and other industry stakeholders on important compliance issues. </w:t>
      </w:r>
      <w:r w:rsidR="00A340F2" w:rsidRPr="0041204F">
        <w:rPr>
          <w:rFonts w:cs="Arial"/>
        </w:rPr>
        <w:t>Carbon reporting</w:t>
      </w:r>
      <w:r w:rsidRPr="0041204F">
        <w:rPr>
          <w:rFonts w:cs="Arial"/>
        </w:rPr>
        <w:t xml:space="preserve"> regulations</w:t>
      </w:r>
      <w:r w:rsidR="00A340F2" w:rsidRPr="0041204F">
        <w:rPr>
          <w:rFonts w:cs="Arial"/>
        </w:rPr>
        <w:t xml:space="preserve"> require intensive coordination throughout</w:t>
      </w:r>
      <w:r w:rsidRPr="0041204F">
        <w:rPr>
          <w:rFonts w:cs="Arial"/>
        </w:rPr>
        <w:t xml:space="preserve"> the entire nonroad equipment supply chain, requiring an industry wide</w:t>
      </w:r>
      <w:r w:rsidR="00896CC2" w:rsidRPr="0041204F">
        <w:rPr>
          <w:rFonts w:cs="Arial"/>
        </w:rPr>
        <w:t xml:space="preserve"> investment of resources, time, knowledge, and expertise to effectively comply with these types of rules. To mitigate our collective compliance risks, AEM developed this best practice guidance document to help educate companies on the requirements found in the </w:t>
      </w:r>
      <w:r w:rsidR="00A340F2" w:rsidRPr="0041204F">
        <w:rPr>
          <w:rFonts w:cs="Arial"/>
        </w:rPr>
        <w:t xml:space="preserve">European Union’s regulation (EU) 2023/956 </w:t>
      </w:r>
      <w:r w:rsidR="00A340F2" w:rsidRPr="0041204F">
        <w:rPr>
          <w:rFonts w:cs="Arial"/>
          <w:i/>
          <w:iCs/>
        </w:rPr>
        <w:t>Carbon Border Adjustment Mechanism</w:t>
      </w:r>
      <w:r w:rsidR="00896CC2" w:rsidRPr="0041204F">
        <w:rPr>
          <w:rStyle w:val="FootnoteReference"/>
          <w:rFonts w:cs="Arial"/>
          <w:i/>
          <w:iCs/>
        </w:rPr>
        <w:footnoteReference w:id="1"/>
      </w:r>
      <w:r w:rsidR="00896CC2" w:rsidRPr="0041204F">
        <w:rPr>
          <w:rFonts w:cs="Arial"/>
        </w:rPr>
        <w:t>.</w:t>
      </w:r>
    </w:p>
    <w:p w14:paraId="37594BF5" w14:textId="7F0E6503" w:rsidR="00184630" w:rsidRPr="0041204F" w:rsidRDefault="00184630" w:rsidP="005D11EB">
      <w:pPr>
        <w:autoSpaceDE w:val="0"/>
        <w:autoSpaceDN w:val="0"/>
        <w:adjustRightInd w:val="0"/>
        <w:spacing w:before="0" w:after="0" w:line="240" w:lineRule="auto"/>
        <w:jc w:val="both"/>
        <w:rPr>
          <w:rFonts w:cs="Arial"/>
          <w:color w:val="0D0D0D"/>
          <w14:ligatures w14:val="standardContextual"/>
        </w:rPr>
      </w:pPr>
      <w:r w:rsidRPr="0041204F">
        <w:rPr>
          <w:rFonts w:cs="Arial"/>
          <w:color w:val="0D0D0D"/>
          <w14:ligatures w14:val="standardContextual"/>
        </w:rPr>
        <w:t>Due t</w:t>
      </w:r>
      <w:r w:rsidR="00F3573E" w:rsidRPr="0041204F">
        <w:rPr>
          <w:rFonts w:cs="Arial"/>
          <w:color w:val="0D0D0D"/>
          <w14:ligatures w14:val="standardContextual"/>
        </w:rPr>
        <w:t xml:space="preserve">o the complex nature of the nonroad equipment industry’s supply chains and products, the </w:t>
      </w:r>
      <w:r w:rsidRPr="0041204F">
        <w:rPr>
          <w:rFonts w:cs="Arial"/>
          <w:color w:val="0D0D0D"/>
          <w14:ligatures w14:val="standardContextual"/>
        </w:rPr>
        <w:t xml:space="preserve">unique </w:t>
      </w:r>
      <w:r w:rsidR="00F3573E" w:rsidRPr="0041204F">
        <w:rPr>
          <w:rFonts w:cs="Arial"/>
          <w:color w:val="0D0D0D"/>
          <w14:ligatures w14:val="standardContextual"/>
        </w:rPr>
        <w:t xml:space="preserve">requirements found in </w:t>
      </w:r>
      <w:r w:rsidR="00A340F2" w:rsidRPr="0041204F">
        <w:rPr>
          <w:rFonts w:cs="Arial"/>
          <w:color w:val="0D0D0D"/>
          <w14:ligatures w14:val="standardContextual"/>
        </w:rPr>
        <w:t>(EU) 2023/956</w:t>
      </w:r>
      <w:r w:rsidR="00F3573E" w:rsidRPr="0041204F">
        <w:rPr>
          <w:rFonts w:cs="Arial"/>
          <w:color w:val="0D0D0D"/>
          <w14:ligatures w14:val="standardContextual"/>
        </w:rPr>
        <w:t xml:space="preserve">, and the timelines companies have </w:t>
      </w:r>
      <w:r w:rsidR="004D3BB4" w:rsidRPr="0041204F">
        <w:rPr>
          <w:rFonts w:cs="Arial"/>
          <w:color w:val="0D0D0D"/>
          <w14:ligatures w14:val="standardContextual"/>
        </w:rPr>
        <w:t>for reporting</w:t>
      </w:r>
      <w:r w:rsidR="00F3573E" w:rsidRPr="0041204F">
        <w:rPr>
          <w:rFonts w:cs="Arial"/>
          <w:color w:val="0D0D0D"/>
          <w14:ligatures w14:val="standardContextual"/>
        </w:rPr>
        <w:t>, AEM</w:t>
      </w:r>
      <w:r w:rsidRPr="0041204F">
        <w:rPr>
          <w:rFonts w:cs="Arial"/>
          <w:color w:val="0D0D0D"/>
          <w14:ligatures w14:val="standardContextual"/>
        </w:rPr>
        <w:t xml:space="preserve"> drafted this document to help industry stakeholders understand and comply with this new regulation. The document contains several sections:</w:t>
      </w:r>
    </w:p>
    <w:p w14:paraId="27F1B560" w14:textId="77777777" w:rsidR="00184630" w:rsidRPr="0041204F" w:rsidRDefault="00184630" w:rsidP="00F3573E">
      <w:pPr>
        <w:autoSpaceDE w:val="0"/>
        <w:autoSpaceDN w:val="0"/>
        <w:adjustRightInd w:val="0"/>
        <w:spacing w:before="0" w:after="0" w:line="240" w:lineRule="auto"/>
        <w:rPr>
          <w:rFonts w:cs="Arial"/>
          <w:color w:val="0D0D0D"/>
          <w14:ligatures w14:val="standardContextual"/>
        </w:rPr>
      </w:pPr>
    </w:p>
    <w:p w14:paraId="474B4133" w14:textId="56BE67A0" w:rsidR="00F3573E" w:rsidRPr="0041204F" w:rsidRDefault="00A340F2" w:rsidP="00184630">
      <w:pPr>
        <w:pStyle w:val="ListParagraph"/>
        <w:numPr>
          <w:ilvl w:val="0"/>
          <w:numId w:val="13"/>
        </w:numPr>
        <w:autoSpaceDE w:val="0"/>
        <w:autoSpaceDN w:val="0"/>
        <w:adjustRightInd w:val="0"/>
        <w:spacing w:after="120" w:line="360" w:lineRule="auto"/>
        <w:rPr>
          <w:rFonts w:cs="Arial"/>
          <w:color w:val="0D0D0D"/>
          <w14:ligatures w14:val="standardContextual"/>
        </w:rPr>
      </w:pPr>
      <w:r w:rsidRPr="0041204F">
        <w:rPr>
          <w:rFonts w:cs="Arial"/>
          <w:color w:val="0D0D0D"/>
          <w14:ligatures w14:val="standardContextual"/>
        </w:rPr>
        <w:t>Assumptions</w:t>
      </w:r>
    </w:p>
    <w:p w14:paraId="06E4DBB8" w14:textId="0D1FBB2D" w:rsidR="00184630" w:rsidRPr="0041204F" w:rsidRDefault="00A340F2" w:rsidP="00184630">
      <w:pPr>
        <w:pStyle w:val="ListParagraph"/>
        <w:numPr>
          <w:ilvl w:val="0"/>
          <w:numId w:val="13"/>
        </w:numPr>
        <w:autoSpaceDE w:val="0"/>
        <w:autoSpaceDN w:val="0"/>
        <w:adjustRightInd w:val="0"/>
        <w:spacing w:after="120" w:line="360" w:lineRule="auto"/>
        <w:rPr>
          <w:rFonts w:cs="Arial"/>
          <w:color w:val="0D0D0D"/>
          <w14:ligatures w14:val="standardContextual"/>
        </w:rPr>
      </w:pPr>
      <w:r w:rsidRPr="0041204F">
        <w:rPr>
          <w:rFonts w:cs="Arial"/>
          <w:color w:val="0D0D0D"/>
          <w14:ligatures w14:val="standardContextual"/>
        </w:rPr>
        <w:t>Definitions</w:t>
      </w:r>
    </w:p>
    <w:p w14:paraId="28C03DD8" w14:textId="177FE1E3" w:rsidR="00184630" w:rsidRPr="0041204F" w:rsidRDefault="00A340F2" w:rsidP="00184630">
      <w:pPr>
        <w:pStyle w:val="ListParagraph"/>
        <w:numPr>
          <w:ilvl w:val="0"/>
          <w:numId w:val="13"/>
        </w:numPr>
        <w:autoSpaceDE w:val="0"/>
        <w:autoSpaceDN w:val="0"/>
        <w:adjustRightInd w:val="0"/>
        <w:spacing w:after="120" w:line="360" w:lineRule="auto"/>
        <w:rPr>
          <w:rFonts w:cs="Arial"/>
          <w:color w:val="0D0D0D"/>
          <w14:ligatures w14:val="standardContextual"/>
        </w:rPr>
      </w:pPr>
      <w:r w:rsidRPr="0041204F">
        <w:rPr>
          <w:rFonts w:cs="Arial"/>
          <w:color w:val="0D0D0D"/>
          <w14:ligatures w14:val="standardContextual"/>
        </w:rPr>
        <w:t>Best Practices</w:t>
      </w:r>
    </w:p>
    <w:p w14:paraId="6B71759B" w14:textId="51709872" w:rsidR="00184630" w:rsidRPr="0041204F" w:rsidRDefault="00A340F2" w:rsidP="00184630">
      <w:pPr>
        <w:pStyle w:val="ListParagraph"/>
        <w:numPr>
          <w:ilvl w:val="0"/>
          <w:numId w:val="13"/>
        </w:numPr>
        <w:autoSpaceDE w:val="0"/>
        <w:autoSpaceDN w:val="0"/>
        <w:adjustRightInd w:val="0"/>
        <w:spacing w:after="120" w:line="360" w:lineRule="auto"/>
        <w:rPr>
          <w:rFonts w:cs="Arial"/>
          <w:color w:val="0D0D0D"/>
          <w14:ligatures w14:val="standardContextual"/>
        </w:rPr>
      </w:pPr>
      <w:r w:rsidRPr="0041204F">
        <w:rPr>
          <w:rFonts w:cs="Arial"/>
          <w:color w:val="0D0D0D"/>
          <w14:ligatures w14:val="standardContextual"/>
        </w:rPr>
        <w:t>Examples</w:t>
      </w:r>
    </w:p>
    <w:p w14:paraId="6FA979AF" w14:textId="0A8EB66F" w:rsidR="00270B5E" w:rsidRPr="0041204F" w:rsidRDefault="00184630" w:rsidP="00A06C0B">
      <w:pPr>
        <w:autoSpaceDE w:val="0"/>
        <w:autoSpaceDN w:val="0"/>
        <w:adjustRightInd w:val="0"/>
        <w:spacing w:after="120" w:line="240" w:lineRule="auto"/>
        <w:jc w:val="both"/>
        <w:rPr>
          <w:rFonts w:cs="Arial"/>
          <w:color w:val="0D0D0D"/>
          <w14:ligatures w14:val="standardContextual"/>
        </w:rPr>
      </w:pPr>
      <w:r w:rsidRPr="0041204F">
        <w:rPr>
          <w:rFonts w:cs="Arial"/>
          <w:color w:val="0D0D0D"/>
          <w14:ligatures w14:val="standardContextual"/>
        </w:rPr>
        <w:t>As the E</w:t>
      </w:r>
      <w:r w:rsidR="00A340F2" w:rsidRPr="0041204F">
        <w:rPr>
          <w:rFonts w:cs="Arial"/>
          <w:color w:val="0D0D0D"/>
          <w14:ligatures w14:val="standardContextual"/>
        </w:rPr>
        <w:t>U</w:t>
      </w:r>
      <w:r w:rsidRPr="0041204F">
        <w:rPr>
          <w:rFonts w:cs="Arial"/>
          <w:color w:val="0D0D0D"/>
          <w14:ligatures w14:val="standardContextual"/>
        </w:rPr>
        <w:t xml:space="preserve"> releases new information, or provides additional guidance, AEM </w:t>
      </w:r>
      <w:r w:rsidR="00270B5E" w:rsidRPr="0041204F">
        <w:rPr>
          <w:rFonts w:cs="Arial"/>
          <w:color w:val="0D0D0D"/>
          <w14:ligatures w14:val="standardContextual"/>
        </w:rPr>
        <w:t>will</w:t>
      </w:r>
      <w:r w:rsidRPr="0041204F">
        <w:rPr>
          <w:rFonts w:cs="Arial"/>
          <w:color w:val="0D0D0D"/>
          <w14:ligatures w14:val="standardContextual"/>
        </w:rPr>
        <w:t xml:space="preserve"> update this document to accurately represent </w:t>
      </w:r>
      <w:r w:rsidR="00270B5E" w:rsidRPr="0041204F">
        <w:rPr>
          <w:rFonts w:cs="Arial"/>
          <w:color w:val="0D0D0D"/>
          <w14:ligatures w14:val="standardContextual"/>
        </w:rPr>
        <w:t xml:space="preserve">the most up-to-date information available. For this reason, this document should be viewed as a non-exhaustive living document, representing the industry’s best understanding at </w:t>
      </w:r>
      <w:r w:rsidR="00A340F2" w:rsidRPr="0041204F">
        <w:rPr>
          <w:rFonts w:cs="Arial"/>
          <w:color w:val="0D0D0D"/>
          <w14:ligatures w14:val="standardContextual"/>
        </w:rPr>
        <w:t>the time of publication</w:t>
      </w:r>
      <w:r w:rsidR="00270B5E" w:rsidRPr="0041204F">
        <w:rPr>
          <w:rFonts w:cs="Arial"/>
          <w:color w:val="0D0D0D"/>
          <w14:ligatures w14:val="standardContextual"/>
        </w:rPr>
        <w:t>.</w:t>
      </w:r>
    </w:p>
    <w:p w14:paraId="4957E8B9" w14:textId="0B524EE6" w:rsidR="003C7086" w:rsidRPr="0041204F" w:rsidRDefault="004B5B13" w:rsidP="001732FF">
      <w:pPr>
        <w:pStyle w:val="Heading1"/>
      </w:pPr>
      <w:bookmarkStart w:id="1" w:name="_Toc227708048"/>
      <w:r w:rsidRPr="0041204F">
        <w:t>Disclaimer</w:t>
      </w:r>
      <w:bookmarkEnd w:id="1"/>
    </w:p>
    <w:p w14:paraId="2305AE49" w14:textId="77777777" w:rsidR="00D170FC" w:rsidRPr="0041204F" w:rsidRDefault="00D170FC">
      <w:pPr>
        <w:spacing w:before="0" w:after="160"/>
        <w:jc w:val="both"/>
        <w:rPr>
          <w:rFonts w:cs="Arial"/>
          <w:lang w:eastAsia="en-US"/>
        </w:rPr>
      </w:pPr>
      <w:r w:rsidRPr="0041204F">
        <w:rPr>
          <w:rFonts w:cs="Arial"/>
        </w:rPr>
        <w:t>The contents of this document are intended to offer support to AEM members by providing information on industry best practices in their efforts to comply with the EU’s CBAM regulation. This does not constitute legal advice and should not be relied upon as such. It is the sole responsibility of each individual company to determine their own compliance requirements. The AEM CBAM Template and this Best Practices Guide are intended solely to support the calculation and reporting of embedded emissions and are not intended to provide advice or recommendations on the best strategy for addressing CBAM.</w:t>
      </w:r>
    </w:p>
    <w:p w14:paraId="3E579692" w14:textId="0CF4EB5E" w:rsidR="003C7086" w:rsidRDefault="003C7086" w:rsidP="006354AE">
      <w:pPr>
        <w:spacing w:before="0" w:after="160" w:line="259" w:lineRule="auto"/>
        <w:jc w:val="both"/>
      </w:pPr>
      <w:r>
        <w:br w:type="page"/>
      </w:r>
    </w:p>
    <w:p w14:paraId="7F799D07" w14:textId="3F9DA65C" w:rsidR="003C7086" w:rsidRDefault="003C7086" w:rsidP="001732FF">
      <w:pPr>
        <w:pStyle w:val="Heading1"/>
      </w:pPr>
      <w:bookmarkStart w:id="2" w:name="_Toc227708049"/>
      <w:r>
        <w:lastRenderedPageBreak/>
        <w:t>Table of Contents</w:t>
      </w:r>
      <w:bookmarkEnd w:id="2"/>
    </w:p>
    <w:sdt>
      <w:sdtPr>
        <w:rPr>
          <w:rFonts w:ascii="Arial" w:eastAsiaTheme="minorEastAsia" w:hAnsi="Arial" w:cstheme="minorBidi"/>
          <w:color w:val="auto"/>
          <w:sz w:val="22"/>
          <w:szCs w:val="22"/>
          <w:lang w:eastAsia="zh-CN"/>
        </w:rPr>
        <w:id w:val="-212735430"/>
        <w:docPartObj>
          <w:docPartGallery w:val="Table of Contents"/>
          <w:docPartUnique/>
        </w:docPartObj>
      </w:sdtPr>
      <w:sdtEndPr>
        <w:rPr>
          <w:b/>
          <w:bCs/>
          <w:noProof/>
        </w:rPr>
      </w:sdtEndPr>
      <w:sdtContent>
        <w:p w14:paraId="0527E98A" w14:textId="0FA09831" w:rsidR="00A64D81" w:rsidRDefault="00A64D81" w:rsidP="001732FF">
          <w:pPr>
            <w:pStyle w:val="TOCHeading"/>
          </w:pPr>
        </w:p>
        <w:p w14:paraId="2897227B" w14:textId="5C28AA1D" w:rsidR="00F643BE" w:rsidRDefault="00A64D81">
          <w:pPr>
            <w:pStyle w:val="TOC1"/>
            <w:rPr>
              <w:rFonts w:asciiTheme="minorHAnsi" w:hAnsiTheme="minorHAnsi"/>
              <w:noProof/>
              <w:kern w:val="2"/>
              <w:sz w:val="24"/>
              <w:szCs w:val="24"/>
              <w:lang w:eastAsia="en-US"/>
              <w14:ligatures w14:val="standardContextual"/>
            </w:rPr>
          </w:pPr>
          <w:r>
            <w:fldChar w:fldCharType="begin"/>
          </w:r>
          <w:r>
            <w:instrText xml:space="preserve"> TOC \o "1-3" \h \z \u </w:instrText>
          </w:r>
          <w:r>
            <w:fldChar w:fldCharType="separate"/>
          </w:r>
          <w:hyperlink w:anchor="_Toc227708047" w:history="1">
            <w:r w:rsidR="00F643BE" w:rsidRPr="00E03DE4">
              <w:rPr>
                <w:rStyle w:val="Hyperlink"/>
                <w:noProof/>
              </w:rPr>
              <w:t>Executive Summary</w:t>
            </w:r>
            <w:r w:rsidR="00F643BE">
              <w:rPr>
                <w:noProof/>
                <w:webHidden/>
              </w:rPr>
              <w:tab/>
            </w:r>
            <w:r w:rsidR="00F643BE">
              <w:rPr>
                <w:noProof/>
                <w:webHidden/>
              </w:rPr>
              <w:fldChar w:fldCharType="begin"/>
            </w:r>
            <w:r w:rsidR="00F643BE">
              <w:rPr>
                <w:noProof/>
                <w:webHidden/>
              </w:rPr>
              <w:instrText xml:space="preserve"> PAGEREF _Toc227708047 \h </w:instrText>
            </w:r>
            <w:r w:rsidR="00F643BE">
              <w:rPr>
                <w:noProof/>
                <w:webHidden/>
              </w:rPr>
            </w:r>
            <w:r w:rsidR="00F643BE">
              <w:rPr>
                <w:noProof/>
                <w:webHidden/>
              </w:rPr>
              <w:fldChar w:fldCharType="separate"/>
            </w:r>
            <w:r w:rsidR="00F643BE">
              <w:rPr>
                <w:noProof/>
                <w:webHidden/>
              </w:rPr>
              <w:t>1</w:t>
            </w:r>
            <w:r w:rsidR="00F643BE">
              <w:rPr>
                <w:noProof/>
                <w:webHidden/>
              </w:rPr>
              <w:fldChar w:fldCharType="end"/>
            </w:r>
          </w:hyperlink>
        </w:p>
        <w:p w14:paraId="49128E24" w14:textId="359D53E4" w:rsidR="00F643BE" w:rsidRDefault="00F643BE">
          <w:pPr>
            <w:pStyle w:val="TOC1"/>
            <w:rPr>
              <w:rFonts w:asciiTheme="minorHAnsi" w:hAnsiTheme="minorHAnsi"/>
              <w:noProof/>
              <w:kern w:val="2"/>
              <w:sz w:val="24"/>
              <w:szCs w:val="24"/>
              <w:lang w:eastAsia="en-US"/>
              <w14:ligatures w14:val="standardContextual"/>
            </w:rPr>
          </w:pPr>
          <w:hyperlink w:anchor="_Toc227708048" w:history="1">
            <w:r w:rsidRPr="00E03DE4">
              <w:rPr>
                <w:rStyle w:val="Hyperlink"/>
                <w:noProof/>
              </w:rPr>
              <w:t>Disclaimer</w:t>
            </w:r>
            <w:r>
              <w:rPr>
                <w:noProof/>
                <w:webHidden/>
              </w:rPr>
              <w:tab/>
            </w:r>
            <w:r>
              <w:rPr>
                <w:noProof/>
                <w:webHidden/>
              </w:rPr>
              <w:fldChar w:fldCharType="begin"/>
            </w:r>
            <w:r>
              <w:rPr>
                <w:noProof/>
                <w:webHidden/>
              </w:rPr>
              <w:instrText xml:space="preserve"> PAGEREF _Toc227708048 \h </w:instrText>
            </w:r>
            <w:r>
              <w:rPr>
                <w:noProof/>
                <w:webHidden/>
              </w:rPr>
            </w:r>
            <w:r>
              <w:rPr>
                <w:noProof/>
                <w:webHidden/>
              </w:rPr>
              <w:fldChar w:fldCharType="separate"/>
            </w:r>
            <w:r>
              <w:rPr>
                <w:noProof/>
                <w:webHidden/>
              </w:rPr>
              <w:t>1</w:t>
            </w:r>
            <w:r>
              <w:rPr>
                <w:noProof/>
                <w:webHidden/>
              </w:rPr>
              <w:fldChar w:fldCharType="end"/>
            </w:r>
          </w:hyperlink>
        </w:p>
        <w:p w14:paraId="67E3E387" w14:textId="225248C7" w:rsidR="00F643BE" w:rsidRDefault="00F643BE">
          <w:pPr>
            <w:pStyle w:val="TOC1"/>
            <w:rPr>
              <w:rFonts w:asciiTheme="minorHAnsi" w:hAnsiTheme="minorHAnsi"/>
              <w:noProof/>
              <w:kern w:val="2"/>
              <w:sz w:val="24"/>
              <w:szCs w:val="24"/>
              <w:lang w:eastAsia="en-US"/>
              <w14:ligatures w14:val="standardContextual"/>
            </w:rPr>
          </w:pPr>
          <w:hyperlink w:anchor="_Toc227708049" w:history="1">
            <w:r w:rsidRPr="00E03DE4">
              <w:rPr>
                <w:rStyle w:val="Hyperlink"/>
                <w:noProof/>
              </w:rPr>
              <w:t>Table of Contents</w:t>
            </w:r>
            <w:r>
              <w:rPr>
                <w:noProof/>
                <w:webHidden/>
              </w:rPr>
              <w:tab/>
            </w:r>
            <w:r>
              <w:rPr>
                <w:noProof/>
                <w:webHidden/>
              </w:rPr>
              <w:fldChar w:fldCharType="begin"/>
            </w:r>
            <w:r>
              <w:rPr>
                <w:noProof/>
                <w:webHidden/>
              </w:rPr>
              <w:instrText xml:space="preserve"> PAGEREF _Toc227708049 \h </w:instrText>
            </w:r>
            <w:r>
              <w:rPr>
                <w:noProof/>
                <w:webHidden/>
              </w:rPr>
            </w:r>
            <w:r>
              <w:rPr>
                <w:noProof/>
                <w:webHidden/>
              </w:rPr>
              <w:fldChar w:fldCharType="separate"/>
            </w:r>
            <w:r>
              <w:rPr>
                <w:noProof/>
                <w:webHidden/>
              </w:rPr>
              <w:t>2</w:t>
            </w:r>
            <w:r>
              <w:rPr>
                <w:noProof/>
                <w:webHidden/>
              </w:rPr>
              <w:fldChar w:fldCharType="end"/>
            </w:r>
          </w:hyperlink>
        </w:p>
        <w:p w14:paraId="2C9C93D3" w14:textId="35001A83" w:rsidR="00F643BE" w:rsidRDefault="00F643BE">
          <w:pPr>
            <w:pStyle w:val="TOC1"/>
            <w:rPr>
              <w:rFonts w:asciiTheme="minorHAnsi" w:hAnsiTheme="minorHAnsi"/>
              <w:noProof/>
              <w:kern w:val="2"/>
              <w:sz w:val="24"/>
              <w:szCs w:val="24"/>
              <w:lang w:eastAsia="en-US"/>
              <w14:ligatures w14:val="standardContextual"/>
            </w:rPr>
          </w:pPr>
          <w:hyperlink w:anchor="_Toc227708050" w:history="1">
            <w:r w:rsidRPr="00E03DE4">
              <w:rPr>
                <w:rStyle w:val="Hyperlink"/>
                <w:noProof/>
              </w:rPr>
              <w:t>Introduction to (EU) 2023/956 – Carbon Border Adjustment Mechanism</w:t>
            </w:r>
            <w:r>
              <w:rPr>
                <w:noProof/>
                <w:webHidden/>
              </w:rPr>
              <w:tab/>
            </w:r>
            <w:r>
              <w:rPr>
                <w:noProof/>
                <w:webHidden/>
              </w:rPr>
              <w:fldChar w:fldCharType="begin"/>
            </w:r>
            <w:r>
              <w:rPr>
                <w:noProof/>
                <w:webHidden/>
              </w:rPr>
              <w:instrText xml:space="preserve"> PAGEREF _Toc227708050 \h </w:instrText>
            </w:r>
            <w:r>
              <w:rPr>
                <w:noProof/>
                <w:webHidden/>
              </w:rPr>
            </w:r>
            <w:r>
              <w:rPr>
                <w:noProof/>
                <w:webHidden/>
              </w:rPr>
              <w:fldChar w:fldCharType="separate"/>
            </w:r>
            <w:r>
              <w:rPr>
                <w:noProof/>
                <w:webHidden/>
              </w:rPr>
              <w:t>4</w:t>
            </w:r>
            <w:r>
              <w:rPr>
                <w:noProof/>
                <w:webHidden/>
              </w:rPr>
              <w:fldChar w:fldCharType="end"/>
            </w:r>
          </w:hyperlink>
        </w:p>
        <w:p w14:paraId="0DDFE111" w14:textId="5E1C2A83" w:rsidR="00F643BE" w:rsidRDefault="00F643BE">
          <w:pPr>
            <w:pStyle w:val="TOC1"/>
            <w:rPr>
              <w:rFonts w:asciiTheme="minorHAnsi" w:hAnsiTheme="minorHAnsi"/>
              <w:noProof/>
              <w:kern w:val="2"/>
              <w:sz w:val="24"/>
              <w:szCs w:val="24"/>
              <w:lang w:eastAsia="en-US"/>
              <w14:ligatures w14:val="standardContextual"/>
            </w:rPr>
          </w:pPr>
          <w:hyperlink w:anchor="_Toc227708051" w:history="1">
            <w:r w:rsidRPr="00E03DE4">
              <w:rPr>
                <w:rStyle w:val="Hyperlink"/>
                <w:noProof/>
              </w:rPr>
              <w:t>Purpose</w:t>
            </w:r>
            <w:r>
              <w:rPr>
                <w:noProof/>
                <w:webHidden/>
              </w:rPr>
              <w:tab/>
            </w:r>
            <w:r>
              <w:rPr>
                <w:noProof/>
                <w:webHidden/>
              </w:rPr>
              <w:fldChar w:fldCharType="begin"/>
            </w:r>
            <w:r>
              <w:rPr>
                <w:noProof/>
                <w:webHidden/>
              </w:rPr>
              <w:instrText xml:space="preserve"> PAGEREF _Toc227708051 \h </w:instrText>
            </w:r>
            <w:r>
              <w:rPr>
                <w:noProof/>
                <w:webHidden/>
              </w:rPr>
            </w:r>
            <w:r>
              <w:rPr>
                <w:noProof/>
                <w:webHidden/>
              </w:rPr>
              <w:fldChar w:fldCharType="separate"/>
            </w:r>
            <w:r>
              <w:rPr>
                <w:noProof/>
                <w:webHidden/>
              </w:rPr>
              <w:t>6</w:t>
            </w:r>
            <w:r>
              <w:rPr>
                <w:noProof/>
                <w:webHidden/>
              </w:rPr>
              <w:fldChar w:fldCharType="end"/>
            </w:r>
          </w:hyperlink>
        </w:p>
        <w:p w14:paraId="60CA13BA" w14:textId="4E8168AA" w:rsidR="00F643BE" w:rsidRDefault="00F643BE">
          <w:pPr>
            <w:pStyle w:val="TOC1"/>
            <w:rPr>
              <w:rFonts w:asciiTheme="minorHAnsi" w:hAnsiTheme="minorHAnsi"/>
              <w:noProof/>
              <w:kern w:val="2"/>
              <w:sz w:val="24"/>
              <w:szCs w:val="24"/>
              <w:lang w:eastAsia="en-US"/>
              <w14:ligatures w14:val="standardContextual"/>
            </w:rPr>
          </w:pPr>
          <w:hyperlink w:anchor="_Toc227708052" w:history="1">
            <w:r w:rsidRPr="00E03DE4">
              <w:rPr>
                <w:rStyle w:val="Hyperlink"/>
                <w:noProof/>
              </w:rPr>
              <w:t>Assumptions</w:t>
            </w:r>
            <w:r>
              <w:rPr>
                <w:noProof/>
                <w:webHidden/>
              </w:rPr>
              <w:tab/>
            </w:r>
            <w:r>
              <w:rPr>
                <w:noProof/>
                <w:webHidden/>
              </w:rPr>
              <w:fldChar w:fldCharType="begin"/>
            </w:r>
            <w:r>
              <w:rPr>
                <w:noProof/>
                <w:webHidden/>
              </w:rPr>
              <w:instrText xml:space="preserve"> PAGEREF _Toc227708052 \h </w:instrText>
            </w:r>
            <w:r>
              <w:rPr>
                <w:noProof/>
                <w:webHidden/>
              </w:rPr>
            </w:r>
            <w:r>
              <w:rPr>
                <w:noProof/>
                <w:webHidden/>
              </w:rPr>
              <w:fldChar w:fldCharType="separate"/>
            </w:r>
            <w:r>
              <w:rPr>
                <w:noProof/>
                <w:webHidden/>
              </w:rPr>
              <w:t>6</w:t>
            </w:r>
            <w:r>
              <w:rPr>
                <w:noProof/>
                <w:webHidden/>
              </w:rPr>
              <w:fldChar w:fldCharType="end"/>
            </w:r>
          </w:hyperlink>
        </w:p>
        <w:p w14:paraId="4363BC82" w14:textId="70037463" w:rsidR="00F643BE" w:rsidRDefault="00F643BE">
          <w:pPr>
            <w:pStyle w:val="TOC1"/>
            <w:rPr>
              <w:rFonts w:asciiTheme="minorHAnsi" w:hAnsiTheme="minorHAnsi"/>
              <w:noProof/>
              <w:kern w:val="2"/>
              <w:sz w:val="24"/>
              <w:szCs w:val="24"/>
              <w:lang w:eastAsia="en-US"/>
              <w14:ligatures w14:val="standardContextual"/>
            </w:rPr>
          </w:pPr>
          <w:hyperlink w:anchor="_Toc227708053" w:history="1">
            <w:r w:rsidRPr="00E03DE4">
              <w:rPr>
                <w:rStyle w:val="Hyperlink"/>
                <w:noProof/>
              </w:rPr>
              <w:t>Definitions</w:t>
            </w:r>
            <w:r>
              <w:rPr>
                <w:noProof/>
                <w:webHidden/>
              </w:rPr>
              <w:tab/>
            </w:r>
            <w:r>
              <w:rPr>
                <w:noProof/>
                <w:webHidden/>
              </w:rPr>
              <w:fldChar w:fldCharType="begin"/>
            </w:r>
            <w:r>
              <w:rPr>
                <w:noProof/>
                <w:webHidden/>
              </w:rPr>
              <w:instrText xml:space="preserve"> PAGEREF _Toc227708053 \h </w:instrText>
            </w:r>
            <w:r>
              <w:rPr>
                <w:noProof/>
                <w:webHidden/>
              </w:rPr>
            </w:r>
            <w:r>
              <w:rPr>
                <w:noProof/>
                <w:webHidden/>
              </w:rPr>
              <w:fldChar w:fldCharType="separate"/>
            </w:r>
            <w:r>
              <w:rPr>
                <w:noProof/>
                <w:webHidden/>
              </w:rPr>
              <w:t>7</w:t>
            </w:r>
            <w:r>
              <w:rPr>
                <w:noProof/>
                <w:webHidden/>
              </w:rPr>
              <w:fldChar w:fldCharType="end"/>
            </w:r>
          </w:hyperlink>
        </w:p>
        <w:p w14:paraId="64439D51" w14:textId="1E73F638" w:rsidR="00F643BE" w:rsidRDefault="00F643BE">
          <w:pPr>
            <w:pStyle w:val="TOC2"/>
            <w:tabs>
              <w:tab w:val="right" w:leader="dot" w:pos="9350"/>
            </w:tabs>
            <w:rPr>
              <w:rFonts w:asciiTheme="minorHAnsi" w:hAnsiTheme="minorHAnsi"/>
              <w:noProof/>
              <w:kern w:val="2"/>
              <w:sz w:val="24"/>
              <w:szCs w:val="24"/>
              <w:lang w:eastAsia="en-US"/>
              <w14:ligatures w14:val="standardContextual"/>
            </w:rPr>
          </w:pPr>
          <w:hyperlink w:anchor="_Toc227708054" w:history="1">
            <w:r w:rsidRPr="00E03DE4">
              <w:rPr>
                <w:rStyle w:val="Hyperlink"/>
                <w:noProof/>
              </w:rPr>
              <w:t>Official CBAM Definitions</w:t>
            </w:r>
            <w:r>
              <w:rPr>
                <w:noProof/>
                <w:webHidden/>
              </w:rPr>
              <w:tab/>
            </w:r>
            <w:r>
              <w:rPr>
                <w:noProof/>
                <w:webHidden/>
              </w:rPr>
              <w:fldChar w:fldCharType="begin"/>
            </w:r>
            <w:r>
              <w:rPr>
                <w:noProof/>
                <w:webHidden/>
              </w:rPr>
              <w:instrText xml:space="preserve"> PAGEREF _Toc227708054 \h </w:instrText>
            </w:r>
            <w:r>
              <w:rPr>
                <w:noProof/>
                <w:webHidden/>
              </w:rPr>
            </w:r>
            <w:r>
              <w:rPr>
                <w:noProof/>
                <w:webHidden/>
              </w:rPr>
              <w:fldChar w:fldCharType="separate"/>
            </w:r>
            <w:r>
              <w:rPr>
                <w:noProof/>
                <w:webHidden/>
              </w:rPr>
              <w:t>7</w:t>
            </w:r>
            <w:r>
              <w:rPr>
                <w:noProof/>
                <w:webHidden/>
              </w:rPr>
              <w:fldChar w:fldCharType="end"/>
            </w:r>
          </w:hyperlink>
        </w:p>
        <w:p w14:paraId="10F72151" w14:textId="25878CD4" w:rsidR="00F643BE" w:rsidRDefault="00F643BE">
          <w:pPr>
            <w:pStyle w:val="TOC2"/>
            <w:tabs>
              <w:tab w:val="right" w:leader="dot" w:pos="9350"/>
            </w:tabs>
            <w:rPr>
              <w:rFonts w:asciiTheme="minorHAnsi" w:hAnsiTheme="minorHAnsi"/>
              <w:noProof/>
              <w:kern w:val="2"/>
              <w:sz w:val="24"/>
              <w:szCs w:val="24"/>
              <w:lang w:eastAsia="en-US"/>
              <w14:ligatures w14:val="standardContextual"/>
            </w:rPr>
          </w:pPr>
          <w:hyperlink w:anchor="_Toc227708055" w:history="1">
            <w:r w:rsidRPr="00E03DE4">
              <w:rPr>
                <w:rStyle w:val="Hyperlink"/>
                <w:noProof/>
              </w:rPr>
              <w:t>CBAM Related Formulas</w:t>
            </w:r>
            <w:r>
              <w:rPr>
                <w:noProof/>
                <w:webHidden/>
              </w:rPr>
              <w:tab/>
            </w:r>
            <w:r>
              <w:rPr>
                <w:noProof/>
                <w:webHidden/>
              </w:rPr>
              <w:fldChar w:fldCharType="begin"/>
            </w:r>
            <w:r>
              <w:rPr>
                <w:noProof/>
                <w:webHidden/>
              </w:rPr>
              <w:instrText xml:space="preserve"> PAGEREF _Toc227708055 \h </w:instrText>
            </w:r>
            <w:r>
              <w:rPr>
                <w:noProof/>
                <w:webHidden/>
              </w:rPr>
            </w:r>
            <w:r>
              <w:rPr>
                <w:noProof/>
                <w:webHidden/>
              </w:rPr>
              <w:fldChar w:fldCharType="separate"/>
            </w:r>
            <w:r>
              <w:rPr>
                <w:noProof/>
                <w:webHidden/>
              </w:rPr>
              <w:t>7</w:t>
            </w:r>
            <w:r>
              <w:rPr>
                <w:noProof/>
                <w:webHidden/>
              </w:rPr>
              <w:fldChar w:fldCharType="end"/>
            </w:r>
          </w:hyperlink>
        </w:p>
        <w:p w14:paraId="73C5E1AF" w14:textId="176397F3" w:rsidR="00F643BE" w:rsidRDefault="00F643BE">
          <w:pPr>
            <w:pStyle w:val="TOC3"/>
            <w:rPr>
              <w:rFonts w:asciiTheme="minorHAnsi" w:hAnsiTheme="minorHAnsi"/>
              <w:noProof/>
              <w:kern w:val="2"/>
              <w:sz w:val="24"/>
              <w:szCs w:val="24"/>
              <w:lang w:eastAsia="en-US"/>
              <w14:ligatures w14:val="standardContextual"/>
            </w:rPr>
          </w:pPr>
          <w:hyperlink w:anchor="_Toc227708056" w:history="1">
            <w:r w:rsidRPr="00E03DE4">
              <w:rPr>
                <w:rStyle w:val="Hyperlink"/>
                <w:noProof/>
                <w:lang w:bidi="en-US"/>
              </w:rPr>
              <w:t>CBAM Certificate Obligation Formula</w:t>
            </w:r>
            <w:r>
              <w:rPr>
                <w:noProof/>
                <w:webHidden/>
              </w:rPr>
              <w:tab/>
            </w:r>
            <w:r>
              <w:rPr>
                <w:noProof/>
                <w:webHidden/>
              </w:rPr>
              <w:fldChar w:fldCharType="begin"/>
            </w:r>
            <w:r>
              <w:rPr>
                <w:noProof/>
                <w:webHidden/>
              </w:rPr>
              <w:instrText xml:space="preserve"> PAGEREF _Toc227708056 \h </w:instrText>
            </w:r>
            <w:r>
              <w:rPr>
                <w:noProof/>
                <w:webHidden/>
              </w:rPr>
            </w:r>
            <w:r>
              <w:rPr>
                <w:noProof/>
                <w:webHidden/>
              </w:rPr>
              <w:fldChar w:fldCharType="separate"/>
            </w:r>
            <w:r>
              <w:rPr>
                <w:noProof/>
                <w:webHidden/>
              </w:rPr>
              <w:t>7</w:t>
            </w:r>
            <w:r>
              <w:rPr>
                <w:noProof/>
                <w:webHidden/>
              </w:rPr>
              <w:fldChar w:fldCharType="end"/>
            </w:r>
          </w:hyperlink>
        </w:p>
        <w:p w14:paraId="096FFECC" w14:textId="5463259E" w:rsidR="00F643BE" w:rsidRDefault="00F643BE">
          <w:pPr>
            <w:pStyle w:val="TOC3"/>
            <w:rPr>
              <w:rFonts w:asciiTheme="minorHAnsi" w:hAnsiTheme="minorHAnsi"/>
              <w:noProof/>
              <w:kern w:val="2"/>
              <w:sz w:val="24"/>
              <w:szCs w:val="24"/>
              <w:lang w:eastAsia="en-US"/>
              <w14:ligatures w14:val="standardContextual"/>
            </w:rPr>
          </w:pPr>
          <w:hyperlink w:anchor="_Toc227708057" w:history="1">
            <w:r w:rsidRPr="00E03DE4">
              <w:rPr>
                <w:rStyle w:val="Hyperlink"/>
                <w:noProof/>
                <w:lang w:bidi="en-US"/>
              </w:rPr>
              <w:t>Expanded Cost Calculation Formula</w:t>
            </w:r>
            <w:r>
              <w:rPr>
                <w:noProof/>
                <w:webHidden/>
              </w:rPr>
              <w:tab/>
            </w:r>
            <w:r>
              <w:rPr>
                <w:noProof/>
                <w:webHidden/>
              </w:rPr>
              <w:fldChar w:fldCharType="begin"/>
            </w:r>
            <w:r>
              <w:rPr>
                <w:noProof/>
                <w:webHidden/>
              </w:rPr>
              <w:instrText xml:space="preserve"> PAGEREF _Toc227708057 \h </w:instrText>
            </w:r>
            <w:r>
              <w:rPr>
                <w:noProof/>
                <w:webHidden/>
              </w:rPr>
            </w:r>
            <w:r>
              <w:rPr>
                <w:noProof/>
                <w:webHidden/>
              </w:rPr>
              <w:fldChar w:fldCharType="separate"/>
            </w:r>
            <w:r>
              <w:rPr>
                <w:noProof/>
                <w:webHidden/>
              </w:rPr>
              <w:t>8</w:t>
            </w:r>
            <w:r>
              <w:rPr>
                <w:noProof/>
                <w:webHidden/>
              </w:rPr>
              <w:fldChar w:fldCharType="end"/>
            </w:r>
          </w:hyperlink>
        </w:p>
        <w:p w14:paraId="288E9447" w14:textId="75C708B6" w:rsidR="00F643BE" w:rsidRDefault="00F643BE">
          <w:pPr>
            <w:pStyle w:val="TOC3"/>
            <w:rPr>
              <w:rFonts w:asciiTheme="minorHAnsi" w:hAnsiTheme="minorHAnsi"/>
              <w:noProof/>
              <w:kern w:val="2"/>
              <w:sz w:val="24"/>
              <w:szCs w:val="24"/>
              <w:lang w:eastAsia="en-US"/>
              <w14:ligatures w14:val="standardContextual"/>
            </w:rPr>
          </w:pPr>
          <w:hyperlink w:anchor="_Toc227708058" w:history="1">
            <w:r w:rsidRPr="00E03DE4">
              <w:rPr>
                <w:rStyle w:val="Hyperlink"/>
                <w:noProof/>
                <w:lang w:bidi="en-US"/>
              </w:rPr>
              <w:t>Net CBAM Obligation</w:t>
            </w:r>
            <w:r>
              <w:rPr>
                <w:noProof/>
                <w:webHidden/>
              </w:rPr>
              <w:tab/>
            </w:r>
            <w:r>
              <w:rPr>
                <w:noProof/>
                <w:webHidden/>
              </w:rPr>
              <w:fldChar w:fldCharType="begin"/>
            </w:r>
            <w:r>
              <w:rPr>
                <w:noProof/>
                <w:webHidden/>
              </w:rPr>
              <w:instrText xml:space="preserve"> PAGEREF _Toc227708058 \h </w:instrText>
            </w:r>
            <w:r>
              <w:rPr>
                <w:noProof/>
                <w:webHidden/>
              </w:rPr>
            </w:r>
            <w:r>
              <w:rPr>
                <w:noProof/>
                <w:webHidden/>
              </w:rPr>
              <w:fldChar w:fldCharType="separate"/>
            </w:r>
            <w:r>
              <w:rPr>
                <w:noProof/>
                <w:webHidden/>
              </w:rPr>
              <w:t>8</w:t>
            </w:r>
            <w:r>
              <w:rPr>
                <w:noProof/>
                <w:webHidden/>
              </w:rPr>
              <w:fldChar w:fldCharType="end"/>
            </w:r>
          </w:hyperlink>
        </w:p>
        <w:p w14:paraId="00DB3C2B" w14:textId="563786EE" w:rsidR="00F643BE" w:rsidRDefault="00F643BE">
          <w:pPr>
            <w:pStyle w:val="TOC2"/>
            <w:tabs>
              <w:tab w:val="right" w:leader="dot" w:pos="9350"/>
            </w:tabs>
            <w:rPr>
              <w:rFonts w:asciiTheme="minorHAnsi" w:hAnsiTheme="minorHAnsi"/>
              <w:noProof/>
              <w:kern w:val="2"/>
              <w:sz w:val="24"/>
              <w:szCs w:val="24"/>
              <w:lang w:eastAsia="en-US"/>
              <w14:ligatures w14:val="standardContextual"/>
            </w:rPr>
          </w:pPr>
          <w:hyperlink w:anchor="_Toc227708059" w:history="1">
            <w:r w:rsidRPr="00E03DE4">
              <w:rPr>
                <w:rStyle w:val="Hyperlink"/>
                <w:noProof/>
              </w:rPr>
              <w:t>CBAM Template Definitions</w:t>
            </w:r>
            <w:r>
              <w:rPr>
                <w:noProof/>
                <w:webHidden/>
              </w:rPr>
              <w:tab/>
            </w:r>
            <w:r>
              <w:rPr>
                <w:noProof/>
                <w:webHidden/>
              </w:rPr>
              <w:fldChar w:fldCharType="begin"/>
            </w:r>
            <w:r>
              <w:rPr>
                <w:noProof/>
                <w:webHidden/>
              </w:rPr>
              <w:instrText xml:space="preserve"> PAGEREF _Toc227708059 \h </w:instrText>
            </w:r>
            <w:r>
              <w:rPr>
                <w:noProof/>
                <w:webHidden/>
              </w:rPr>
            </w:r>
            <w:r>
              <w:rPr>
                <w:noProof/>
                <w:webHidden/>
              </w:rPr>
              <w:fldChar w:fldCharType="separate"/>
            </w:r>
            <w:r>
              <w:rPr>
                <w:noProof/>
                <w:webHidden/>
              </w:rPr>
              <w:t>8</w:t>
            </w:r>
            <w:r>
              <w:rPr>
                <w:noProof/>
                <w:webHidden/>
              </w:rPr>
              <w:fldChar w:fldCharType="end"/>
            </w:r>
          </w:hyperlink>
        </w:p>
        <w:p w14:paraId="759FDEF6" w14:textId="5AED2D97" w:rsidR="00F643BE" w:rsidRDefault="00F643BE">
          <w:pPr>
            <w:pStyle w:val="TOC1"/>
            <w:rPr>
              <w:rFonts w:asciiTheme="minorHAnsi" w:hAnsiTheme="minorHAnsi"/>
              <w:noProof/>
              <w:kern w:val="2"/>
              <w:sz w:val="24"/>
              <w:szCs w:val="24"/>
              <w:lang w:eastAsia="en-US"/>
              <w14:ligatures w14:val="standardContextual"/>
            </w:rPr>
          </w:pPr>
          <w:hyperlink w:anchor="_Toc227708060" w:history="1">
            <w:r w:rsidRPr="00E03DE4">
              <w:rPr>
                <w:rStyle w:val="Hyperlink"/>
                <w:noProof/>
              </w:rPr>
              <w:t>Default Values:</w:t>
            </w:r>
            <w:r>
              <w:rPr>
                <w:noProof/>
                <w:webHidden/>
              </w:rPr>
              <w:tab/>
            </w:r>
            <w:r>
              <w:rPr>
                <w:noProof/>
                <w:webHidden/>
              </w:rPr>
              <w:fldChar w:fldCharType="begin"/>
            </w:r>
            <w:r>
              <w:rPr>
                <w:noProof/>
                <w:webHidden/>
              </w:rPr>
              <w:instrText xml:space="preserve"> PAGEREF _Toc227708060 \h </w:instrText>
            </w:r>
            <w:r>
              <w:rPr>
                <w:noProof/>
                <w:webHidden/>
              </w:rPr>
            </w:r>
            <w:r>
              <w:rPr>
                <w:noProof/>
                <w:webHidden/>
              </w:rPr>
              <w:fldChar w:fldCharType="separate"/>
            </w:r>
            <w:r>
              <w:rPr>
                <w:noProof/>
                <w:webHidden/>
              </w:rPr>
              <w:t>10</w:t>
            </w:r>
            <w:r>
              <w:rPr>
                <w:noProof/>
                <w:webHidden/>
              </w:rPr>
              <w:fldChar w:fldCharType="end"/>
            </w:r>
          </w:hyperlink>
        </w:p>
        <w:p w14:paraId="11397D0E" w14:textId="4CA3A4D1" w:rsidR="00F643BE" w:rsidRDefault="00F643BE">
          <w:pPr>
            <w:pStyle w:val="TOC1"/>
            <w:rPr>
              <w:rFonts w:asciiTheme="minorHAnsi" w:hAnsiTheme="minorHAnsi"/>
              <w:noProof/>
              <w:kern w:val="2"/>
              <w:sz w:val="24"/>
              <w:szCs w:val="24"/>
              <w:lang w:eastAsia="en-US"/>
              <w14:ligatures w14:val="standardContextual"/>
            </w:rPr>
          </w:pPr>
          <w:hyperlink w:anchor="_Toc227708061" w:history="1">
            <w:r w:rsidRPr="00E03DE4">
              <w:rPr>
                <w:rStyle w:val="Hyperlink"/>
                <w:noProof/>
              </w:rPr>
              <w:t>Examples:</w:t>
            </w:r>
            <w:r>
              <w:rPr>
                <w:noProof/>
                <w:webHidden/>
              </w:rPr>
              <w:tab/>
            </w:r>
            <w:r>
              <w:rPr>
                <w:noProof/>
                <w:webHidden/>
              </w:rPr>
              <w:fldChar w:fldCharType="begin"/>
            </w:r>
            <w:r>
              <w:rPr>
                <w:noProof/>
                <w:webHidden/>
              </w:rPr>
              <w:instrText xml:space="preserve"> PAGEREF _Toc227708061 \h </w:instrText>
            </w:r>
            <w:r>
              <w:rPr>
                <w:noProof/>
                <w:webHidden/>
              </w:rPr>
            </w:r>
            <w:r>
              <w:rPr>
                <w:noProof/>
                <w:webHidden/>
              </w:rPr>
              <w:fldChar w:fldCharType="separate"/>
            </w:r>
            <w:r>
              <w:rPr>
                <w:noProof/>
                <w:webHidden/>
              </w:rPr>
              <w:t>11</w:t>
            </w:r>
            <w:r>
              <w:rPr>
                <w:noProof/>
                <w:webHidden/>
              </w:rPr>
              <w:fldChar w:fldCharType="end"/>
            </w:r>
          </w:hyperlink>
        </w:p>
        <w:p w14:paraId="657F4080" w14:textId="645DAEE3" w:rsidR="00F643BE" w:rsidRDefault="00F643BE">
          <w:pPr>
            <w:pStyle w:val="TOC2"/>
            <w:tabs>
              <w:tab w:val="right" w:leader="dot" w:pos="9350"/>
            </w:tabs>
            <w:rPr>
              <w:rFonts w:asciiTheme="minorHAnsi" w:hAnsiTheme="minorHAnsi"/>
              <w:noProof/>
              <w:kern w:val="2"/>
              <w:sz w:val="24"/>
              <w:szCs w:val="24"/>
              <w:lang w:eastAsia="en-US"/>
              <w14:ligatures w14:val="standardContextual"/>
            </w:rPr>
          </w:pPr>
          <w:hyperlink w:anchor="_Toc227708062" w:history="1">
            <w:r w:rsidRPr="00E03DE4">
              <w:rPr>
                <w:rStyle w:val="Hyperlink"/>
                <w:noProof/>
              </w:rPr>
              <w:t>Example 1 - Input Instructions:</w:t>
            </w:r>
            <w:r>
              <w:rPr>
                <w:noProof/>
                <w:webHidden/>
              </w:rPr>
              <w:tab/>
            </w:r>
            <w:r>
              <w:rPr>
                <w:noProof/>
                <w:webHidden/>
              </w:rPr>
              <w:fldChar w:fldCharType="begin"/>
            </w:r>
            <w:r>
              <w:rPr>
                <w:noProof/>
                <w:webHidden/>
              </w:rPr>
              <w:instrText xml:space="preserve"> PAGEREF _Toc227708062 \h </w:instrText>
            </w:r>
            <w:r>
              <w:rPr>
                <w:noProof/>
                <w:webHidden/>
              </w:rPr>
            </w:r>
            <w:r>
              <w:rPr>
                <w:noProof/>
                <w:webHidden/>
              </w:rPr>
              <w:fldChar w:fldCharType="separate"/>
            </w:r>
            <w:r>
              <w:rPr>
                <w:noProof/>
                <w:webHidden/>
              </w:rPr>
              <w:t>12</w:t>
            </w:r>
            <w:r>
              <w:rPr>
                <w:noProof/>
                <w:webHidden/>
              </w:rPr>
              <w:fldChar w:fldCharType="end"/>
            </w:r>
          </w:hyperlink>
        </w:p>
        <w:p w14:paraId="5DDA541A" w14:textId="3A9DB46C" w:rsidR="00F643BE" w:rsidRDefault="00F643BE">
          <w:pPr>
            <w:pStyle w:val="TOC2"/>
            <w:tabs>
              <w:tab w:val="right" w:leader="dot" w:pos="9350"/>
            </w:tabs>
            <w:rPr>
              <w:rFonts w:asciiTheme="minorHAnsi" w:hAnsiTheme="minorHAnsi"/>
              <w:noProof/>
              <w:kern w:val="2"/>
              <w:sz w:val="24"/>
              <w:szCs w:val="24"/>
              <w:lang w:eastAsia="en-US"/>
              <w14:ligatures w14:val="standardContextual"/>
            </w:rPr>
          </w:pPr>
          <w:hyperlink w:anchor="_Toc227708063" w:history="1">
            <w:r w:rsidRPr="00E03DE4">
              <w:rPr>
                <w:rStyle w:val="Hyperlink"/>
                <w:noProof/>
              </w:rPr>
              <w:t>Example 2 - Input Instructions:</w:t>
            </w:r>
            <w:r>
              <w:rPr>
                <w:noProof/>
                <w:webHidden/>
              </w:rPr>
              <w:tab/>
            </w:r>
            <w:r>
              <w:rPr>
                <w:noProof/>
                <w:webHidden/>
              </w:rPr>
              <w:fldChar w:fldCharType="begin"/>
            </w:r>
            <w:r>
              <w:rPr>
                <w:noProof/>
                <w:webHidden/>
              </w:rPr>
              <w:instrText xml:space="preserve"> PAGEREF _Toc227708063 \h </w:instrText>
            </w:r>
            <w:r>
              <w:rPr>
                <w:noProof/>
                <w:webHidden/>
              </w:rPr>
            </w:r>
            <w:r>
              <w:rPr>
                <w:noProof/>
                <w:webHidden/>
              </w:rPr>
              <w:fldChar w:fldCharType="separate"/>
            </w:r>
            <w:r>
              <w:rPr>
                <w:noProof/>
                <w:webHidden/>
              </w:rPr>
              <w:t>13</w:t>
            </w:r>
            <w:r>
              <w:rPr>
                <w:noProof/>
                <w:webHidden/>
              </w:rPr>
              <w:fldChar w:fldCharType="end"/>
            </w:r>
          </w:hyperlink>
        </w:p>
        <w:p w14:paraId="1BD94EFA" w14:textId="001BEC72" w:rsidR="00F643BE" w:rsidRDefault="00F643BE">
          <w:pPr>
            <w:pStyle w:val="TOC2"/>
            <w:tabs>
              <w:tab w:val="right" w:leader="dot" w:pos="9350"/>
            </w:tabs>
            <w:rPr>
              <w:rFonts w:asciiTheme="minorHAnsi" w:hAnsiTheme="minorHAnsi"/>
              <w:noProof/>
              <w:kern w:val="2"/>
              <w:sz w:val="24"/>
              <w:szCs w:val="24"/>
              <w:lang w:eastAsia="en-US"/>
              <w14:ligatures w14:val="standardContextual"/>
            </w:rPr>
          </w:pPr>
          <w:hyperlink w:anchor="_Toc227708064" w:history="1">
            <w:r w:rsidRPr="00E03DE4">
              <w:rPr>
                <w:rStyle w:val="Hyperlink"/>
                <w:noProof/>
              </w:rPr>
              <w:t>Example 3 - Input Instructions:</w:t>
            </w:r>
            <w:r>
              <w:rPr>
                <w:noProof/>
                <w:webHidden/>
              </w:rPr>
              <w:tab/>
            </w:r>
            <w:r>
              <w:rPr>
                <w:noProof/>
                <w:webHidden/>
              </w:rPr>
              <w:fldChar w:fldCharType="begin"/>
            </w:r>
            <w:r>
              <w:rPr>
                <w:noProof/>
                <w:webHidden/>
              </w:rPr>
              <w:instrText xml:space="preserve"> PAGEREF _Toc227708064 \h </w:instrText>
            </w:r>
            <w:r>
              <w:rPr>
                <w:noProof/>
                <w:webHidden/>
              </w:rPr>
            </w:r>
            <w:r>
              <w:rPr>
                <w:noProof/>
                <w:webHidden/>
              </w:rPr>
              <w:fldChar w:fldCharType="separate"/>
            </w:r>
            <w:r>
              <w:rPr>
                <w:noProof/>
                <w:webHidden/>
              </w:rPr>
              <w:t>16</w:t>
            </w:r>
            <w:r>
              <w:rPr>
                <w:noProof/>
                <w:webHidden/>
              </w:rPr>
              <w:fldChar w:fldCharType="end"/>
            </w:r>
          </w:hyperlink>
        </w:p>
        <w:p w14:paraId="7AB78503" w14:textId="277734E6" w:rsidR="00F643BE" w:rsidRDefault="00F643BE">
          <w:pPr>
            <w:pStyle w:val="TOC1"/>
            <w:rPr>
              <w:rFonts w:asciiTheme="minorHAnsi" w:hAnsiTheme="minorHAnsi"/>
              <w:noProof/>
              <w:kern w:val="2"/>
              <w:sz w:val="24"/>
              <w:szCs w:val="24"/>
              <w:lang w:eastAsia="en-US"/>
              <w14:ligatures w14:val="standardContextual"/>
            </w:rPr>
          </w:pPr>
          <w:hyperlink w:anchor="_Toc227708065" w:history="1">
            <w:r w:rsidRPr="00E03DE4">
              <w:rPr>
                <w:rStyle w:val="Hyperlink"/>
                <w:noProof/>
              </w:rPr>
              <w:t>Default Versus Measured Emissions:</w:t>
            </w:r>
            <w:r>
              <w:rPr>
                <w:noProof/>
                <w:webHidden/>
              </w:rPr>
              <w:tab/>
            </w:r>
            <w:r>
              <w:rPr>
                <w:noProof/>
                <w:webHidden/>
              </w:rPr>
              <w:fldChar w:fldCharType="begin"/>
            </w:r>
            <w:r>
              <w:rPr>
                <w:noProof/>
                <w:webHidden/>
              </w:rPr>
              <w:instrText xml:space="preserve"> PAGEREF _Toc227708065 \h </w:instrText>
            </w:r>
            <w:r>
              <w:rPr>
                <w:noProof/>
                <w:webHidden/>
              </w:rPr>
            </w:r>
            <w:r>
              <w:rPr>
                <w:noProof/>
                <w:webHidden/>
              </w:rPr>
              <w:fldChar w:fldCharType="separate"/>
            </w:r>
            <w:r>
              <w:rPr>
                <w:noProof/>
                <w:webHidden/>
              </w:rPr>
              <w:t>18</w:t>
            </w:r>
            <w:r>
              <w:rPr>
                <w:noProof/>
                <w:webHidden/>
              </w:rPr>
              <w:fldChar w:fldCharType="end"/>
            </w:r>
          </w:hyperlink>
        </w:p>
        <w:p w14:paraId="6D76CD22" w14:textId="4B653454" w:rsidR="00F643BE" w:rsidRDefault="00F643BE">
          <w:pPr>
            <w:pStyle w:val="TOC1"/>
            <w:rPr>
              <w:rFonts w:asciiTheme="minorHAnsi" w:hAnsiTheme="minorHAnsi"/>
              <w:noProof/>
              <w:kern w:val="2"/>
              <w:sz w:val="24"/>
              <w:szCs w:val="24"/>
              <w:lang w:eastAsia="en-US"/>
              <w14:ligatures w14:val="standardContextual"/>
            </w:rPr>
          </w:pPr>
          <w:hyperlink w:anchor="_Toc227708066" w:history="1">
            <w:r w:rsidRPr="00E03DE4">
              <w:rPr>
                <w:rStyle w:val="Hyperlink"/>
                <w:noProof/>
              </w:rPr>
              <w:t>EU CBAM Resources</w:t>
            </w:r>
            <w:r>
              <w:rPr>
                <w:noProof/>
                <w:webHidden/>
              </w:rPr>
              <w:tab/>
            </w:r>
            <w:r>
              <w:rPr>
                <w:noProof/>
                <w:webHidden/>
              </w:rPr>
              <w:fldChar w:fldCharType="begin"/>
            </w:r>
            <w:r>
              <w:rPr>
                <w:noProof/>
                <w:webHidden/>
              </w:rPr>
              <w:instrText xml:space="preserve"> PAGEREF _Toc227708066 \h </w:instrText>
            </w:r>
            <w:r>
              <w:rPr>
                <w:noProof/>
                <w:webHidden/>
              </w:rPr>
            </w:r>
            <w:r>
              <w:rPr>
                <w:noProof/>
                <w:webHidden/>
              </w:rPr>
              <w:fldChar w:fldCharType="separate"/>
            </w:r>
            <w:r>
              <w:rPr>
                <w:noProof/>
                <w:webHidden/>
              </w:rPr>
              <w:t>21</w:t>
            </w:r>
            <w:r>
              <w:rPr>
                <w:noProof/>
                <w:webHidden/>
              </w:rPr>
              <w:fldChar w:fldCharType="end"/>
            </w:r>
          </w:hyperlink>
        </w:p>
        <w:p w14:paraId="67371179" w14:textId="01A873BD" w:rsidR="00A64D81" w:rsidRDefault="00A64D81">
          <w:r>
            <w:rPr>
              <w:b/>
              <w:bCs/>
              <w:noProof/>
            </w:rPr>
            <w:fldChar w:fldCharType="end"/>
          </w:r>
        </w:p>
      </w:sdtContent>
    </w:sdt>
    <w:p w14:paraId="2178691E" w14:textId="77777777" w:rsidR="003C7086" w:rsidRDefault="003C7086"/>
    <w:p w14:paraId="01A4F1C0" w14:textId="77777777" w:rsidR="003C7086" w:rsidRDefault="003C7086"/>
    <w:p w14:paraId="2FE29834" w14:textId="77777777" w:rsidR="003C7086" w:rsidRDefault="003C7086"/>
    <w:p w14:paraId="4BAEF44A" w14:textId="77777777" w:rsidR="003C7086" w:rsidRDefault="003C7086"/>
    <w:p w14:paraId="22193919" w14:textId="77777777" w:rsidR="003C7086" w:rsidRDefault="003C7086"/>
    <w:p w14:paraId="4FA4EB32" w14:textId="77777777" w:rsidR="003C7086" w:rsidRDefault="003C7086"/>
    <w:p w14:paraId="14D2DAAB" w14:textId="77777777" w:rsidR="003C7086" w:rsidRDefault="003C7086"/>
    <w:p w14:paraId="4733495D" w14:textId="77777777" w:rsidR="003C7086" w:rsidRDefault="003C7086"/>
    <w:p w14:paraId="595937CB" w14:textId="77777777" w:rsidR="008178E9" w:rsidRDefault="008178E9">
      <w:pPr>
        <w:spacing w:before="0" w:after="160" w:line="259" w:lineRule="auto"/>
        <w:rPr>
          <w:rFonts w:asciiTheme="majorHAnsi" w:eastAsiaTheme="majorEastAsia" w:hAnsiTheme="majorHAnsi" w:cstheme="majorBidi"/>
          <w:b/>
          <w:sz w:val="32"/>
          <w:szCs w:val="32"/>
        </w:rPr>
      </w:pPr>
      <w:bookmarkStart w:id="3" w:name="_Toc158820221"/>
      <w:r>
        <w:br w:type="page"/>
      </w:r>
    </w:p>
    <w:p w14:paraId="0008796A" w14:textId="690E451F" w:rsidR="00D1162C" w:rsidRDefault="00D1162C" w:rsidP="001732FF">
      <w:pPr>
        <w:pStyle w:val="Heading1"/>
      </w:pPr>
      <w:bookmarkStart w:id="4" w:name="_Toc227708050"/>
      <w:r>
        <w:lastRenderedPageBreak/>
        <w:t xml:space="preserve">Introduction to </w:t>
      </w:r>
      <w:bookmarkEnd w:id="3"/>
      <w:r w:rsidR="00A340F2">
        <w:t>(EU) 2023/956 – Carbon Border Adjustment Mechanism</w:t>
      </w:r>
      <w:bookmarkEnd w:id="4"/>
    </w:p>
    <w:p w14:paraId="7C8C89AA" w14:textId="55BE3A03" w:rsidR="00585C9C" w:rsidRDefault="00585C9C">
      <w:r>
        <w:t xml:space="preserve">Over the last decade, the EU has positioned itself at the forefront of addressing global climate change. The EU’s Green Deal set aggressive targets for the bloc to achieve greenhouse gas (GHG) emissions equivalent to 1990 levels by 2030 and to achieve carbon neutrality by 2050. Some of the policy tools the EU Commission employs include investments in specific industries, mandatory energy efficiency requirements, and </w:t>
      </w:r>
      <w:r w:rsidR="004B1B7D">
        <w:t>carbon tax rules like CBAM.</w:t>
      </w:r>
      <w:r>
        <w:t xml:space="preserve"> </w:t>
      </w:r>
    </w:p>
    <w:p w14:paraId="527A5105" w14:textId="6A2430A0" w:rsidR="00585C9C" w:rsidRDefault="00B57A9D">
      <w:r>
        <w:t xml:space="preserve">The EU’s CBAM regulation </w:t>
      </w:r>
      <w:r w:rsidR="004B1B7D">
        <w:t>functions</w:t>
      </w:r>
      <w:r>
        <w:t xml:space="preserve"> a</w:t>
      </w:r>
      <w:r w:rsidR="004B1B7D">
        <w:t>s</w:t>
      </w:r>
      <w:r>
        <w:t xml:space="preserve"> tariff placed on the carbon emitted during the production of specific carbon intensive goods </w:t>
      </w:r>
      <w:r w:rsidR="00585C9C">
        <w:t>entering</w:t>
      </w:r>
      <w:r>
        <w:t xml:space="preserve"> the EU single market. </w:t>
      </w:r>
      <w:r w:rsidR="00585C9C">
        <w:t xml:space="preserve">These </w:t>
      </w:r>
      <w:r w:rsidR="00761BE7">
        <w:t xml:space="preserve">selected precursor materials </w:t>
      </w:r>
      <w:r w:rsidR="00585C9C">
        <w:t>include:</w:t>
      </w:r>
    </w:p>
    <w:p w14:paraId="565C8502" w14:textId="77777777" w:rsidR="00585C9C" w:rsidRDefault="00585C9C" w:rsidP="00585C9C">
      <w:pPr>
        <w:pStyle w:val="ListParagraph"/>
        <w:numPr>
          <w:ilvl w:val="0"/>
          <w:numId w:val="14"/>
        </w:numPr>
      </w:pPr>
      <w:r>
        <w:t>Cement</w:t>
      </w:r>
    </w:p>
    <w:p w14:paraId="0DFA6364" w14:textId="77777777" w:rsidR="00585C9C" w:rsidRDefault="00585C9C" w:rsidP="00585C9C">
      <w:pPr>
        <w:pStyle w:val="ListParagraph"/>
        <w:numPr>
          <w:ilvl w:val="0"/>
          <w:numId w:val="14"/>
        </w:numPr>
      </w:pPr>
      <w:r>
        <w:t>Iron and Steel</w:t>
      </w:r>
    </w:p>
    <w:p w14:paraId="471D8992" w14:textId="53FEB66F" w:rsidR="00585C9C" w:rsidRDefault="00585C9C" w:rsidP="00585C9C">
      <w:pPr>
        <w:pStyle w:val="ListParagraph"/>
        <w:numPr>
          <w:ilvl w:val="0"/>
          <w:numId w:val="14"/>
        </w:numPr>
      </w:pPr>
      <w:r>
        <w:t>Aluminum</w:t>
      </w:r>
    </w:p>
    <w:p w14:paraId="2D062920" w14:textId="2107525A" w:rsidR="00585C9C" w:rsidRDefault="00585C9C" w:rsidP="00585C9C">
      <w:pPr>
        <w:pStyle w:val="ListParagraph"/>
        <w:numPr>
          <w:ilvl w:val="0"/>
          <w:numId w:val="14"/>
        </w:numPr>
      </w:pPr>
      <w:r>
        <w:t>Fertilizers</w:t>
      </w:r>
    </w:p>
    <w:p w14:paraId="33FB3E40" w14:textId="77777777" w:rsidR="00585C9C" w:rsidRDefault="00585C9C" w:rsidP="00585C9C">
      <w:pPr>
        <w:pStyle w:val="ListParagraph"/>
        <w:numPr>
          <w:ilvl w:val="0"/>
          <w:numId w:val="14"/>
        </w:numPr>
      </w:pPr>
      <w:r>
        <w:t>Hydrogen</w:t>
      </w:r>
    </w:p>
    <w:p w14:paraId="7C1A6AAF" w14:textId="69626059" w:rsidR="003C7086" w:rsidRDefault="00585C9C" w:rsidP="00585C9C">
      <w:pPr>
        <w:pStyle w:val="ListParagraph"/>
        <w:numPr>
          <w:ilvl w:val="0"/>
          <w:numId w:val="14"/>
        </w:numPr>
      </w:pPr>
      <w:r>
        <w:t>Electricity</w:t>
      </w:r>
    </w:p>
    <w:p w14:paraId="5F9BAC87" w14:textId="2BE77038" w:rsidR="00585C9C" w:rsidRDefault="00585C9C" w:rsidP="00585C9C">
      <w:r>
        <w:t xml:space="preserve">The purpose of CBAM is to ensure that </w:t>
      </w:r>
      <w:r w:rsidR="004B1B7D">
        <w:t xml:space="preserve">manufacturers do not have any financial incentives to move production of CBAM goods abroad to less stringent regulatory jurisdictions, a concept defined in the EU as ‘carbon leakage’. By pricing in a carbon tax, the EU is hoping to reduce the financial incentives various economic operators may have to move the production of these CBAM goods outside of the EU and therefore undermine the GHG reduction goals of the trading block. </w:t>
      </w:r>
    </w:p>
    <w:p w14:paraId="1B492D18" w14:textId="7BA7E711" w:rsidR="004B1B7D" w:rsidRDefault="004B1B7D" w:rsidP="00585C9C">
      <w:r>
        <w:t>The EU Parliament and Council signed the CBAM Regulation, (EU) 2023/956, into law on May 10</w:t>
      </w:r>
      <w:r w:rsidRPr="004B1B7D">
        <w:rPr>
          <w:vertAlign w:val="superscript"/>
        </w:rPr>
        <w:t>th</w:t>
      </w:r>
      <w:r>
        <w:t xml:space="preserve">, 2023. </w:t>
      </w:r>
      <w:r w:rsidR="00761BE7">
        <w:t>On October 1</w:t>
      </w:r>
      <w:r w:rsidR="00761BE7" w:rsidRPr="00761BE7">
        <w:rPr>
          <w:vertAlign w:val="superscript"/>
        </w:rPr>
        <w:t>st</w:t>
      </w:r>
      <w:r w:rsidR="00761BE7">
        <w:t>, 2023, CBAM started its transitional phase requiring importers to report their data on embedded carbon on the selected precursor materials 3 months later, January 31</w:t>
      </w:r>
      <w:r w:rsidR="00761BE7" w:rsidRPr="00761BE7">
        <w:rPr>
          <w:vertAlign w:val="superscript"/>
        </w:rPr>
        <w:t>st</w:t>
      </w:r>
      <w:r w:rsidR="00761BE7">
        <w:t xml:space="preserve">, 2024. </w:t>
      </w:r>
      <w:r w:rsidR="00464429">
        <w:t>During this initial stage of the transition period, reporters were only required to report the direct and indirect emissions embedded in their products, they were not required to pay the carbon tax. Carbon values were determined based on an EU implementing regulation</w:t>
      </w:r>
      <w:r w:rsidR="00464429">
        <w:rPr>
          <w:rStyle w:val="FootnoteReference"/>
        </w:rPr>
        <w:footnoteReference w:id="2"/>
      </w:r>
      <w:r w:rsidR="00464429">
        <w:t xml:space="preserve"> which gave companies a choice of reporting in three different ways:</w:t>
      </w:r>
    </w:p>
    <w:p w14:paraId="20E638A6" w14:textId="401841B1" w:rsidR="00464429" w:rsidRDefault="00464429" w:rsidP="00464429">
      <w:pPr>
        <w:pStyle w:val="ListParagraph"/>
        <w:numPr>
          <w:ilvl w:val="0"/>
          <w:numId w:val="15"/>
        </w:numPr>
      </w:pPr>
      <w:r>
        <w:t>Full reporting according to a methodology established by the EU commission,</w:t>
      </w:r>
    </w:p>
    <w:p w14:paraId="243376FB" w14:textId="69C6EFD8" w:rsidR="00464429" w:rsidRDefault="00464429" w:rsidP="00464429">
      <w:pPr>
        <w:pStyle w:val="ListParagraph"/>
        <w:numPr>
          <w:ilvl w:val="0"/>
          <w:numId w:val="15"/>
        </w:numPr>
      </w:pPr>
      <w:r>
        <w:t>Reporting based on an equivalent method, or</w:t>
      </w:r>
    </w:p>
    <w:p w14:paraId="7123BD35" w14:textId="6F5F2907" w:rsidR="00464429" w:rsidRDefault="00464429" w:rsidP="00464429">
      <w:pPr>
        <w:pStyle w:val="ListParagraph"/>
        <w:numPr>
          <w:ilvl w:val="0"/>
          <w:numId w:val="15"/>
        </w:numPr>
      </w:pPr>
      <w:r>
        <w:t>Reporting based on default reference values</w:t>
      </w:r>
    </w:p>
    <w:p w14:paraId="2A45B1B9" w14:textId="16E2B82E" w:rsidR="007831C9" w:rsidRDefault="007831C9" w:rsidP="00464429">
      <w:r>
        <w:t>As various importers start to survey their supply chains, and establish their own compliance requirements,</w:t>
      </w:r>
      <w:r w:rsidR="00464429">
        <w:t xml:space="preserve"> many economic operators </w:t>
      </w:r>
      <w:r>
        <w:t xml:space="preserve">seem to </w:t>
      </w:r>
      <w:r w:rsidR="00464429">
        <w:t xml:space="preserve">prefer the use of option 3, the default reference values. </w:t>
      </w:r>
      <w:r>
        <w:t>These default values allow manufacturers to meet their compliance requirements, while providing valuable time to comply with the stricter data collection requirements that start in 2026.</w:t>
      </w:r>
    </w:p>
    <w:p w14:paraId="4E0DE94F" w14:textId="4C2F0B5C" w:rsidR="00464429" w:rsidRDefault="007831C9" w:rsidP="00464429">
      <w:r>
        <w:lastRenderedPageBreak/>
        <w:t>By law, the full implementation of CBAM, including the full reporting of a product’s embedded carbon data and the requirement to purchase CBAM certificates through the EU’s Emissions Trading System (ETS), will start on January 1, 2026. At this stage, all importers will need to collect, calculate, and report their carbon data to the EU and will not be allowed to use default values to calculate their CBAM tariff costs.</w:t>
      </w:r>
    </w:p>
    <w:p w14:paraId="283E5EF0" w14:textId="2B5B8E85" w:rsidR="007831C9" w:rsidRDefault="007831C9" w:rsidP="00464429">
      <w:r>
        <w:t>Eventually, the EU has stated they plan to include more products under the scope of CBAM. These product types may include chemicals, polymers and glass.</w:t>
      </w:r>
    </w:p>
    <w:p w14:paraId="466842B1" w14:textId="77777777" w:rsidR="00D1162C" w:rsidRDefault="00D1162C"/>
    <w:p w14:paraId="61228FC7" w14:textId="77777777" w:rsidR="00D1162C" w:rsidRDefault="00D1162C"/>
    <w:p w14:paraId="49289D81" w14:textId="77777777" w:rsidR="00D1162C" w:rsidRDefault="00D1162C"/>
    <w:p w14:paraId="4D087F98" w14:textId="77777777" w:rsidR="00D1162C" w:rsidRDefault="00D1162C"/>
    <w:p w14:paraId="46E19C41" w14:textId="77777777" w:rsidR="00D1162C" w:rsidRDefault="00D1162C"/>
    <w:p w14:paraId="684BC7F7" w14:textId="44758E85" w:rsidR="00D1162C" w:rsidRDefault="00D1162C">
      <w:pPr>
        <w:spacing w:before="0" w:after="160" w:line="259" w:lineRule="auto"/>
      </w:pPr>
      <w:r>
        <w:br w:type="page"/>
      </w:r>
    </w:p>
    <w:p w14:paraId="3F618948" w14:textId="1EE0BF45" w:rsidR="007831C9" w:rsidRDefault="007831C9" w:rsidP="001732FF">
      <w:pPr>
        <w:pStyle w:val="Heading1"/>
      </w:pPr>
      <w:bookmarkStart w:id="5" w:name="_Toc227708051"/>
      <w:bookmarkStart w:id="6" w:name="_Toc158820226"/>
      <w:r>
        <w:lastRenderedPageBreak/>
        <w:t>Purpose</w:t>
      </w:r>
      <w:bookmarkEnd w:id="5"/>
    </w:p>
    <w:p w14:paraId="0D499E95" w14:textId="747D39B4" w:rsidR="007831C9" w:rsidRPr="007831C9" w:rsidRDefault="007831C9" w:rsidP="007831C9">
      <w:r>
        <w:t xml:space="preserve">The purpose of this document is to help </w:t>
      </w:r>
      <w:r w:rsidR="002F4A83">
        <w:t>original equipment manufacturers (OEMs</w:t>
      </w:r>
      <w:proofErr w:type="gramStart"/>
      <w:r w:rsidR="002F4A83">
        <w:t>)</w:t>
      </w:r>
      <w:proofErr w:type="gramEnd"/>
      <w:r w:rsidR="002F4A83">
        <w:t xml:space="preserve"> and their suppliers comply with the unique requirements of the EU’s CBAM regulation, (EU) 2023/956. </w:t>
      </w:r>
      <w:r w:rsidR="008C322F">
        <w:t>This document is intended to be used in conjunction with the AEM CBAM template. The template can be found at the following website [insert website domain]</w:t>
      </w:r>
    </w:p>
    <w:p w14:paraId="6345312D" w14:textId="2771449A" w:rsidR="007831C9" w:rsidRDefault="007831C9" w:rsidP="001732FF">
      <w:pPr>
        <w:pStyle w:val="Heading1"/>
      </w:pPr>
      <w:bookmarkStart w:id="7" w:name="_Toc227708052"/>
      <w:r>
        <w:t>Assumptions</w:t>
      </w:r>
      <w:bookmarkEnd w:id="7"/>
    </w:p>
    <w:p w14:paraId="4A2DCDBE" w14:textId="71F09090" w:rsidR="00807B93" w:rsidRDefault="00836237" w:rsidP="002F4A83">
      <w:r>
        <w:t xml:space="preserve">Equipment manufacturers build products consisting of tens of thousands of unique parts sourced from thousands of different suppliers </w:t>
      </w:r>
      <w:r w:rsidR="00807B93">
        <w:t>operating</w:t>
      </w:r>
      <w:r>
        <w:t xml:space="preserve"> in various countries around the world. The complexity and variability between these supply chain actors and the products they sell introduces many different obstacles when collecting carbon</w:t>
      </w:r>
      <w:r w:rsidR="00807B93">
        <w:t xml:space="preserve"> emissions</w:t>
      </w:r>
      <w:r>
        <w:t xml:space="preserve"> data from numerous stakeholders.</w:t>
      </w:r>
      <w:r w:rsidR="00807B93">
        <w:t xml:space="preserve"> To ease the collective burden on industry, AEM and its member companies published this best practice guide a</w:t>
      </w:r>
      <w:r w:rsidR="00A06C0B">
        <w:t>long with</w:t>
      </w:r>
      <w:r w:rsidR="00807B93">
        <w:t xml:space="preserve"> the AEM CBAM Template to standardize our industry’s reporting process</w:t>
      </w:r>
      <w:r w:rsidR="00A06C0B">
        <w:t>es</w:t>
      </w:r>
      <w:r w:rsidR="00807B93">
        <w:t xml:space="preserve"> and data formats.  </w:t>
      </w:r>
      <w:r w:rsidR="00A06C0B">
        <w:t>AEM believes this can simplify the reporting process, streamline data collection efforts, reduce confusion, and reduce our industry’s collective compliance risks.</w:t>
      </w:r>
    </w:p>
    <w:p w14:paraId="11CD99E1" w14:textId="7BAE24A4" w:rsidR="002F4A83" w:rsidRPr="002F4A83" w:rsidRDefault="00836237" w:rsidP="002F4A83">
      <w:r>
        <w:t>To ensure th</w:t>
      </w:r>
      <w:r w:rsidR="00A06C0B">
        <w:t>at</w:t>
      </w:r>
      <w:r>
        <w:t xml:space="preserve"> data collected by the OEMs is consistent and compatible across component types, AEM has outlined several key data formatting requirements</w:t>
      </w:r>
      <w:r w:rsidR="00A06C0B">
        <w:t xml:space="preserve"> from suppliers</w:t>
      </w:r>
      <w:r>
        <w:t>:</w:t>
      </w:r>
    </w:p>
    <w:p w14:paraId="68876344" w14:textId="41E47495" w:rsidR="00B90785" w:rsidRDefault="00B90785" w:rsidP="002A52FB">
      <w:pPr>
        <w:pStyle w:val="ListParagraph"/>
        <w:numPr>
          <w:ilvl w:val="0"/>
          <w:numId w:val="16"/>
        </w:numPr>
      </w:pPr>
      <w:r>
        <w:t xml:space="preserve">Data collection efforts focus on requirements outlined in </w:t>
      </w:r>
      <w:hyperlink r:id="rId12" w:history="1">
        <w:r>
          <w:rPr>
            <w:rStyle w:val="Hyperlink"/>
          </w:rPr>
          <w:t>(EU) 2023/1773</w:t>
        </w:r>
      </w:hyperlink>
    </w:p>
    <w:p w14:paraId="41C3A813" w14:textId="55550611" w:rsidR="00B90785" w:rsidRDefault="00B90785" w:rsidP="00B90785">
      <w:pPr>
        <w:pStyle w:val="ListParagraph"/>
        <w:numPr>
          <w:ilvl w:val="1"/>
          <w:numId w:val="16"/>
        </w:numPr>
      </w:pPr>
      <w:r>
        <w:t>Annex II - 3.16 – Steel Products</w:t>
      </w:r>
    </w:p>
    <w:p w14:paraId="23DF93DD" w14:textId="6691C735" w:rsidR="00B90785" w:rsidRDefault="00B90785" w:rsidP="00B90785">
      <w:pPr>
        <w:pStyle w:val="ListParagraph"/>
        <w:numPr>
          <w:ilvl w:val="1"/>
          <w:numId w:val="16"/>
        </w:numPr>
      </w:pPr>
      <w:r>
        <w:t xml:space="preserve">Annex II – 3.18 – Aluminum Products </w:t>
      </w:r>
    </w:p>
    <w:p w14:paraId="1ECA89E0" w14:textId="5AB40FB5" w:rsidR="00B90785" w:rsidRPr="00B90785" w:rsidRDefault="00B90785" w:rsidP="00B90785">
      <w:pPr>
        <w:pStyle w:val="ListParagraph"/>
        <w:numPr>
          <w:ilvl w:val="0"/>
          <w:numId w:val="16"/>
        </w:numPr>
        <w:spacing w:before="100" w:beforeAutospacing="1" w:after="100" w:afterAutospacing="1" w:line="240" w:lineRule="auto"/>
        <w:rPr>
          <w:rFonts w:eastAsia="Times New Roman" w:cs="Arial"/>
          <w:sz w:val="24"/>
          <w:szCs w:val="24"/>
          <w:lang w:eastAsia="en-US"/>
        </w:rPr>
      </w:pPr>
      <w:r>
        <w:rPr>
          <w:rFonts w:eastAsia="Times New Roman" w:cs="Arial"/>
          <w:lang w:eastAsia="en-US"/>
        </w:rPr>
        <w:t>This document</w:t>
      </w:r>
      <w:r w:rsidR="00750E65">
        <w:rPr>
          <w:rFonts w:eastAsia="Times New Roman" w:cs="Arial"/>
          <w:lang w:eastAsia="en-US"/>
        </w:rPr>
        <w:t>,</w:t>
      </w:r>
      <w:r>
        <w:rPr>
          <w:rFonts w:eastAsia="Times New Roman" w:cs="Arial"/>
          <w:lang w:eastAsia="en-US"/>
        </w:rPr>
        <w:t xml:space="preserve"> and the </w:t>
      </w:r>
      <w:r w:rsidR="00750E65">
        <w:rPr>
          <w:rFonts w:eastAsia="Times New Roman" w:cs="Arial"/>
          <w:lang w:eastAsia="en-US"/>
        </w:rPr>
        <w:t>template associated with the guidance found below,</w:t>
      </w:r>
      <w:r w:rsidRPr="00B90785">
        <w:rPr>
          <w:rFonts w:eastAsia="Times New Roman" w:cs="Arial"/>
          <w:lang w:eastAsia="en-US"/>
        </w:rPr>
        <w:t xml:space="preserve"> is </w:t>
      </w:r>
      <w:r>
        <w:rPr>
          <w:rFonts w:eastAsia="Times New Roman" w:cs="Arial"/>
          <w:lang w:eastAsia="en-US"/>
        </w:rPr>
        <w:t>intended to</w:t>
      </w:r>
      <w:r w:rsidRPr="00B90785">
        <w:rPr>
          <w:rFonts w:eastAsia="Times New Roman" w:cs="Arial"/>
          <w:lang w:eastAsia="en-US"/>
        </w:rPr>
        <w:t xml:space="preserve"> establish the embedded emissions from </w:t>
      </w:r>
      <w:r>
        <w:rPr>
          <w:rFonts w:eastAsia="Times New Roman" w:cs="Arial"/>
          <w:lang w:eastAsia="en-US"/>
        </w:rPr>
        <w:t>a particular</w:t>
      </w:r>
      <w:r w:rsidRPr="00B90785">
        <w:rPr>
          <w:rFonts w:eastAsia="Times New Roman" w:cs="Arial"/>
          <w:lang w:eastAsia="en-US"/>
        </w:rPr>
        <w:t xml:space="preserve"> facility </w:t>
      </w:r>
      <w:r>
        <w:rPr>
          <w:rFonts w:eastAsia="Times New Roman" w:cs="Arial"/>
          <w:lang w:eastAsia="en-US"/>
        </w:rPr>
        <w:t>and then</w:t>
      </w:r>
      <w:r w:rsidRPr="00B90785">
        <w:rPr>
          <w:rFonts w:eastAsia="Times New Roman" w:cs="Arial"/>
          <w:lang w:eastAsia="en-US"/>
        </w:rPr>
        <w:t xml:space="preserve"> apply that</w:t>
      </w:r>
      <w:r>
        <w:rPr>
          <w:rFonts w:eastAsia="Times New Roman" w:cs="Arial"/>
          <w:lang w:eastAsia="en-US"/>
        </w:rPr>
        <w:t xml:space="preserve"> information</w:t>
      </w:r>
      <w:r w:rsidRPr="00B90785">
        <w:rPr>
          <w:rFonts w:eastAsia="Times New Roman" w:cs="Arial"/>
          <w:lang w:eastAsia="en-US"/>
        </w:rPr>
        <w:t xml:space="preserve"> to all part</w:t>
      </w:r>
      <w:r w:rsidR="00750E65">
        <w:rPr>
          <w:rFonts w:eastAsia="Times New Roman" w:cs="Arial"/>
          <w:lang w:eastAsia="en-US"/>
        </w:rPr>
        <w:t xml:space="preserve">s (on a </w:t>
      </w:r>
      <w:r w:rsidR="00BF6C14">
        <w:rPr>
          <w:rFonts w:eastAsia="Times New Roman" w:cs="Arial"/>
          <w:lang w:eastAsia="en-US"/>
        </w:rPr>
        <w:t>part-number</w:t>
      </w:r>
      <w:r w:rsidR="00750E65">
        <w:rPr>
          <w:rFonts w:eastAsia="Times New Roman" w:cs="Arial"/>
          <w:lang w:eastAsia="en-US"/>
        </w:rPr>
        <w:t xml:space="preserve"> basis) manufactured from</w:t>
      </w:r>
      <w:r w:rsidRPr="00B90785">
        <w:rPr>
          <w:rFonts w:eastAsia="Times New Roman" w:cs="Arial"/>
          <w:lang w:eastAsia="en-US"/>
        </w:rPr>
        <w:t xml:space="preserve"> that facility.</w:t>
      </w:r>
    </w:p>
    <w:p w14:paraId="6A725B65" w14:textId="771E0DCF" w:rsidR="002A52FB" w:rsidRDefault="002A52FB" w:rsidP="002A52FB">
      <w:pPr>
        <w:pStyle w:val="ListParagraph"/>
        <w:numPr>
          <w:ilvl w:val="0"/>
          <w:numId w:val="16"/>
        </w:numPr>
      </w:pPr>
      <w:r>
        <w:t xml:space="preserve">Provide </w:t>
      </w:r>
      <w:r w:rsidR="00836237">
        <w:t xml:space="preserve">data </w:t>
      </w:r>
      <w:r>
        <w:t>on electricity consum</w:t>
      </w:r>
      <w:r w:rsidR="00A06C0B">
        <w:t>ption</w:t>
      </w:r>
      <w:r>
        <w:t xml:space="preserve"> on a 12-month basis</w:t>
      </w:r>
    </w:p>
    <w:p w14:paraId="1AC70A45" w14:textId="6B836501" w:rsidR="002A52FB" w:rsidRDefault="002A52FB" w:rsidP="002F4A83">
      <w:pPr>
        <w:pStyle w:val="ListParagraph"/>
        <w:numPr>
          <w:ilvl w:val="0"/>
          <w:numId w:val="16"/>
        </w:numPr>
      </w:pPr>
      <w:r>
        <w:t xml:space="preserve">Provide </w:t>
      </w:r>
      <w:r w:rsidR="00836237">
        <w:t>a weight</w:t>
      </w:r>
      <w:r>
        <w:t xml:space="preserve"> </w:t>
      </w:r>
      <w:r w:rsidR="00836237">
        <w:t>for every component</w:t>
      </w:r>
      <w:r w:rsidR="00A06C0B">
        <w:t xml:space="preserve"> or part</w:t>
      </w:r>
      <w:r w:rsidR="00836237">
        <w:t xml:space="preserve"> sold to downstream customers</w:t>
      </w:r>
      <w:r>
        <w:t xml:space="preserve"> </w:t>
      </w:r>
    </w:p>
    <w:p w14:paraId="64AC7CE7" w14:textId="4F63F621" w:rsidR="002A52FB" w:rsidRDefault="00DD5EC4" w:rsidP="002F4A83">
      <w:pPr>
        <w:pStyle w:val="ListParagraph"/>
        <w:numPr>
          <w:ilvl w:val="0"/>
          <w:numId w:val="16"/>
        </w:numPr>
      </w:pPr>
      <w:r>
        <w:t xml:space="preserve">Provide </w:t>
      </w:r>
      <w:r w:rsidR="00836237">
        <w:t xml:space="preserve">consistent and identifiable </w:t>
      </w:r>
      <w:r>
        <w:t>units when providing data</w:t>
      </w:r>
      <w:r w:rsidR="00836237">
        <w:t xml:space="preserve"> across product types</w:t>
      </w:r>
      <w:r>
        <w:t xml:space="preserve"> </w:t>
      </w:r>
      <w:r w:rsidR="00836237">
        <w:t>(</w:t>
      </w:r>
      <w:r w:rsidR="00750E65">
        <w:t>e.g.</w:t>
      </w:r>
      <w:r w:rsidR="00836237">
        <w:t xml:space="preserve"> kWh, kg, tons)</w:t>
      </w:r>
    </w:p>
    <w:p w14:paraId="29958D9F" w14:textId="101338CF" w:rsidR="00836237" w:rsidRDefault="00836237" w:rsidP="00836237">
      <w:pPr>
        <w:pStyle w:val="ListParagraph"/>
        <w:numPr>
          <w:ilvl w:val="0"/>
          <w:numId w:val="16"/>
        </w:numPr>
      </w:pPr>
      <w:r>
        <w:t>Provide location of production facilities</w:t>
      </w:r>
    </w:p>
    <w:p w14:paraId="1424F1A2" w14:textId="77777777" w:rsidR="00927930" w:rsidRDefault="00927930" w:rsidP="00927930">
      <w:pPr>
        <w:pStyle w:val="ListParagraph"/>
      </w:pPr>
    </w:p>
    <w:p w14:paraId="252DCB0C" w14:textId="48A0BF70" w:rsidR="00927930" w:rsidRPr="00927930" w:rsidRDefault="00927930" w:rsidP="00927930">
      <w:pPr>
        <w:rPr>
          <w:lang w:eastAsia="en-US"/>
        </w:rPr>
      </w:pPr>
      <w:r w:rsidRPr="00927930">
        <w:rPr>
          <w:b/>
          <w:bCs/>
        </w:rPr>
        <w:t>NOTE:</w:t>
      </w:r>
      <w:r w:rsidRPr="00927930">
        <w:t xml:space="preserve"> It is not a regulatory requirement to use default values. Companies may choose to use</w:t>
      </w:r>
      <w:r w:rsidR="00BF6C14">
        <w:t xml:space="preserve"> either</w:t>
      </w:r>
      <w:r w:rsidRPr="00927930">
        <w:t xml:space="preserve"> their own data or default values.</w:t>
      </w:r>
      <w:r w:rsidR="00BF6C14">
        <w:t xml:space="preserve"> It is important to note that</w:t>
      </w:r>
      <w:r w:rsidRPr="00927930">
        <w:t xml:space="preserve"> </w:t>
      </w:r>
      <w:r w:rsidR="00BF6C14">
        <w:t>companies who choose to u</w:t>
      </w:r>
      <w:r w:rsidRPr="00927930">
        <w:t>s</w:t>
      </w:r>
      <w:r w:rsidR="00BF6C14">
        <w:t>e</w:t>
      </w:r>
      <w:r w:rsidRPr="00927930">
        <w:t xml:space="preserve"> default values </w:t>
      </w:r>
      <w:r w:rsidR="00BF6C14">
        <w:t>will face an</w:t>
      </w:r>
      <w:r w:rsidRPr="00927930">
        <w:t xml:space="preserve"> increas</w:t>
      </w:r>
      <w:r w:rsidR="00BF6C14">
        <w:t>ing carbon</w:t>
      </w:r>
      <w:r w:rsidRPr="00927930">
        <w:t xml:space="preserve"> tax penalty over time.</w:t>
      </w:r>
      <w:r w:rsidR="00BF6C14">
        <w:t xml:space="preserve"> If companies choose to use their own data, they will need to verify these numbers with an independent and qualified third party. </w:t>
      </w:r>
    </w:p>
    <w:p w14:paraId="3E1065D6" w14:textId="77777777" w:rsidR="00A06C0B" w:rsidRDefault="00A06C0B" w:rsidP="00A06C0B"/>
    <w:p w14:paraId="34C41D60" w14:textId="77777777" w:rsidR="00A06C0B" w:rsidRDefault="00A06C0B" w:rsidP="00A06C0B"/>
    <w:p w14:paraId="56BDED28" w14:textId="77777777" w:rsidR="00A06C0B" w:rsidRDefault="00A06C0B" w:rsidP="00A06C0B"/>
    <w:p w14:paraId="70DCDCB9" w14:textId="6013F5D4" w:rsidR="007831C9" w:rsidRDefault="007831C9" w:rsidP="001732FF">
      <w:pPr>
        <w:pStyle w:val="Heading1"/>
      </w:pPr>
      <w:bookmarkStart w:id="8" w:name="_Toc227708053"/>
      <w:r>
        <w:lastRenderedPageBreak/>
        <w:t>Definitions</w:t>
      </w:r>
      <w:bookmarkEnd w:id="8"/>
    </w:p>
    <w:p w14:paraId="42E57354" w14:textId="7D000FFC" w:rsidR="00305107" w:rsidRPr="00015EA6" w:rsidRDefault="00305107" w:rsidP="00612116">
      <w:pPr>
        <w:pStyle w:val="Heading2"/>
      </w:pPr>
      <w:bookmarkStart w:id="9" w:name="_Toc227708054"/>
      <w:r>
        <w:t>Official CBAM Definitions</w:t>
      </w:r>
      <w:r w:rsidR="00D61609" w:rsidRPr="00015EA6">
        <w:rPr>
          <w:rStyle w:val="FootnoteReference"/>
          <w:b w:val="0"/>
          <w:bCs w:val="0"/>
        </w:rPr>
        <w:footnoteReference w:id="3"/>
      </w:r>
      <w:bookmarkEnd w:id="9"/>
      <w:r w:rsidR="00A06C0B" w:rsidRPr="00015EA6">
        <w:t xml:space="preserve"> </w:t>
      </w:r>
    </w:p>
    <w:p w14:paraId="1B014F80" w14:textId="38CC5522" w:rsidR="00696168" w:rsidRPr="0041204F" w:rsidRDefault="00696168" w:rsidP="00C73A60">
      <w:pPr>
        <w:pStyle w:val="BodyText"/>
        <w:rPr>
          <w:b/>
          <w:bCs/>
        </w:rPr>
      </w:pPr>
      <w:r w:rsidRPr="0041204F">
        <w:t>Authorized CBAM Declarant</w:t>
      </w:r>
      <w:r w:rsidR="00BF6C14" w:rsidRPr="0041204F">
        <w:t>:</w:t>
      </w:r>
      <w:r w:rsidRPr="0041204F">
        <w:t xml:space="preserve"> a person authorized by a competent authority.</w:t>
      </w:r>
    </w:p>
    <w:p w14:paraId="6478743A" w14:textId="77777777" w:rsidR="00696168" w:rsidRPr="0041204F" w:rsidRDefault="00696168" w:rsidP="00C73A60">
      <w:pPr>
        <w:pStyle w:val="BodyText"/>
      </w:pPr>
    </w:p>
    <w:p w14:paraId="3486ED30" w14:textId="12B9E790" w:rsidR="00940910" w:rsidRPr="0041204F" w:rsidRDefault="00696168" w:rsidP="00C73A60">
      <w:pPr>
        <w:pStyle w:val="BodyText"/>
        <w:rPr>
          <w:b/>
          <w:bCs/>
        </w:rPr>
      </w:pPr>
      <w:r w:rsidRPr="0041204F">
        <w:t>Competent authority</w:t>
      </w:r>
      <w:r w:rsidR="00BF6C14" w:rsidRPr="0041204F">
        <w:t>:</w:t>
      </w:r>
      <w:r w:rsidRPr="0041204F">
        <w:t xml:space="preserve"> the authority designated by each member state.</w:t>
      </w:r>
    </w:p>
    <w:p w14:paraId="714263F3" w14:textId="77777777" w:rsidR="00696168" w:rsidRPr="0041204F" w:rsidRDefault="00696168" w:rsidP="00C73A60">
      <w:pPr>
        <w:pStyle w:val="BodyText"/>
      </w:pPr>
    </w:p>
    <w:p w14:paraId="48E36E7B" w14:textId="3F8B21A3" w:rsidR="00D61609" w:rsidRPr="0041204F" w:rsidRDefault="00D61609" w:rsidP="00C73A60">
      <w:pPr>
        <w:pStyle w:val="BodyText"/>
        <w:rPr>
          <w:b/>
          <w:bCs/>
        </w:rPr>
      </w:pPr>
      <w:r w:rsidRPr="0041204F">
        <w:t>CBAM Goods</w:t>
      </w:r>
      <w:r w:rsidR="00BF6C14" w:rsidRPr="0041204F">
        <w:t>:</w:t>
      </w:r>
      <w:r w:rsidRPr="0041204F">
        <w:t xml:space="preserve"> list of products identified in Annex I of (EU) 2023/956. Products listed under Annex I are regulated under CBAM.</w:t>
      </w:r>
    </w:p>
    <w:p w14:paraId="0043256B" w14:textId="77777777" w:rsidR="003044DD" w:rsidRPr="0041204F" w:rsidRDefault="003044DD" w:rsidP="00C73A60">
      <w:pPr>
        <w:pStyle w:val="BodyText"/>
      </w:pPr>
    </w:p>
    <w:p w14:paraId="185399D7" w14:textId="64A5967D" w:rsidR="003044DD" w:rsidRPr="0041204F" w:rsidRDefault="004D5B9D" w:rsidP="00C73A60">
      <w:pPr>
        <w:pStyle w:val="BodyText"/>
        <w:rPr>
          <w:b/>
          <w:bCs/>
        </w:rPr>
      </w:pPr>
      <w:r w:rsidRPr="0041204F">
        <w:t>Ton of CO</w:t>
      </w:r>
      <w:r w:rsidRPr="0041204F">
        <w:rPr>
          <w:vertAlign w:val="subscript"/>
        </w:rPr>
        <w:t>2</w:t>
      </w:r>
      <w:r w:rsidRPr="0041204F">
        <w:t>e</w:t>
      </w:r>
      <w:r w:rsidR="00BF6C14" w:rsidRPr="0041204F">
        <w:t>:</w:t>
      </w:r>
      <w:r w:rsidRPr="0041204F">
        <w:t xml:space="preserve"> means one metric ton of CO</w:t>
      </w:r>
      <w:r w:rsidRPr="0041204F">
        <w:rPr>
          <w:vertAlign w:val="subscript"/>
        </w:rPr>
        <w:t>2</w:t>
      </w:r>
      <w:r w:rsidRPr="0041204F">
        <w:t>, or an amount of any other GHG listed in Annex I with an equivalent global warming potential.</w:t>
      </w:r>
    </w:p>
    <w:p w14:paraId="1AD25B4E" w14:textId="77777777" w:rsidR="00696168" w:rsidRPr="0041204F" w:rsidRDefault="00696168" w:rsidP="00C73A60">
      <w:pPr>
        <w:pStyle w:val="BodyText"/>
      </w:pPr>
    </w:p>
    <w:p w14:paraId="67F31871" w14:textId="423E21DB" w:rsidR="00696168" w:rsidRPr="0041204F" w:rsidRDefault="00696168" w:rsidP="00C73A60">
      <w:pPr>
        <w:pStyle w:val="BodyText"/>
        <w:rPr>
          <w:b/>
          <w:bCs/>
        </w:rPr>
      </w:pPr>
      <w:r w:rsidRPr="0041204F">
        <w:t>Default value</w:t>
      </w:r>
      <w:r w:rsidR="00BF6C14" w:rsidRPr="0041204F">
        <w:t>:</w:t>
      </w:r>
      <w:r w:rsidRPr="0041204F">
        <w:t xml:space="preserve"> the value, which is calculated or drawn from secondary data, which represents the embedded emissions in goods.</w:t>
      </w:r>
    </w:p>
    <w:p w14:paraId="78C43194" w14:textId="77777777" w:rsidR="00696168" w:rsidRPr="0041204F" w:rsidRDefault="00696168" w:rsidP="00C73A60">
      <w:pPr>
        <w:pStyle w:val="BodyText"/>
      </w:pPr>
    </w:p>
    <w:p w14:paraId="5476D732" w14:textId="498D0679" w:rsidR="00696168" w:rsidRPr="0041204F" w:rsidRDefault="00696168" w:rsidP="00C73A60">
      <w:pPr>
        <w:pStyle w:val="BodyText"/>
        <w:rPr>
          <w:b/>
          <w:bCs/>
        </w:rPr>
      </w:pPr>
      <w:r w:rsidRPr="0041204F">
        <w:t>Direct emissions</w:t>
      </w:r>
      <w:r w:rsidR="00BF6C14" w:rsidRPr="0041204F">
        <w:t>:</w:t>
      </w:r>
      <w:r w:rsidRPr="0041204F">
        <w:t xml:space="preserve"> the emissions from the product process of gods, including emissions from the production of heating and cooling that is consumed during the production processes, irrespective of the location of the production of the heating or cooling.</w:t>
      </w:r>
    </w:p>
    <w:p w14:paraId="5A592A89" w14:textId="77777777" w:rsidR="00696168" w:rsidRPr="0041204F" w:rsidRDefault="00696168" w:rsidP="00C73A60">
      <w:pPr>
        <w:pStyle w:val="BodyText"/>
      </w:pPr>
    </w:p>
    <w:p w14:paraId="66A15B6B" w14:textId="511263D7" w:rsidR="00696168" w:rsidRPr="0041204F" w:rsidRDefault="00696168" w:rsidP="00C73A60">
      <w:pPr>
        <w:pStyle w:val="BodyText"/>
        <w:rPr>
          <w:b/>
          <w:bCs/>
        </w:rPr>
      </w:pPr>
      <w:r w:rsidRPr="0041204F">
        <w:t>Embedded emissions</w:t>
      </w:r>
      <w:r w:rsidR="00BF6C14" w:rsidRPr="0041204F">
        <w:t>:</w:t>
      </w:r>
      <w:r w:rsidRPr="0041204F">
        <w:t xml:space="preserve"> means direct emissions released during the production of goods and indirect emissions from the production of electricity that is consumed during the production processes, calculated in accordance with the methods set out in Annex IV of (EU) 2023/956.</w:t>
      </w:r>
    </w:p>
    <w:p w14:paraId="432E69E5" w14:textId="77777777" w:rsidR="00696168" w:rsidRPr="0041204F" w:rsidRDefault="00696168" w:rsidP="00C73A60">
      <w:pPr>
        <w:pStyle w:val="BodyText"/>
      </w:pPr>
    </w:p>
    <w:p w14:paraId="5DF72EE1" w14:textId="35E298F3" w:rsidR="00305107" w:rsidRPr="0041204F" w:rsidRDefault="00D61609" w:rsidP="00C73A60">
      <w:pPr>
        <w:pStyle w:val="BodyText"/>
        <w:rPr>
          <w:b/>
          <w:bCs/>
        </w:rPr>
      </w:pPr>
      <w:r w:rsidRPr="0041204F">
        <w:t>Emissions</w:t>
      </w:r>
      <w:r w:rsidR="00BF6C14" w:rsidRPr="0041204F">
        <w:t>:</w:t>
      </w:r>
      <w:r w:rsidRPr="0041204F">
        <w:t xml:space="preserve"> the release of greenhouse gases into the atmosphere </w:t>
      </w:r>
      <w:proofErr w:type="gramStart"/>
      <w:r w:rsidRPr="0041204F">
        <w:t>as a result of</w:t>
      </w:r>
      <w:proofErr w:type="gramEnd"/>
      <w:r w:rsidRPr="0041204F">
        <w:t xml:space="preserve"> the production of those goods.  </w:t>
      </w:r>
    </w:p>
    <w:p w14:paraId="3D50B223" w14:textId="77777777" w:rsidR="00D61609" w:rsidRPr="0041204F" w:rsidRDefault="00D61609" w:rsidP="00C73A60">
      <w:pPr>
        <w:pStyle w:val="BodyText"/>
      </w:pPr>
    </w:p>
    <w:p w14:paraId="2815BBB9" w14:textId="37EDB918" w:rsidR="00D61609" w:rsidRPr="0041204F" w:rsidRDefault="00D61609" w:rsidP="00C73A60">
      <w:pPr>
        <w:pStyle w:val="BodyText"/>
        <w:rPr>
          <w:b/>
          <w:bCs/>
        </w:rPr>
      </w:pPr>
      <w:r w:rsidRPr="0041204F">
        <w:t>Import</w:t>
      </w:r>
      <w:r w:rsidR="00BF6C14" w:rsidRPr="0041204F">
        <w:t>:</w:t>
      </w:r>
      <w:r w:rsidRPr="0041204F">
        <w:t xml:space="preserve"> for the purposes of CBAM</w:t>
      </w:r>
      <w:r w:rsidR="00306C43" w:rsidRPr="0041204F">
        <w:t>, importation means the introduction and free circulation of goods into the European Union.</w:t>
      </w:r>
    </w:p>
    <w:p w14:paraId="5E170113" w14:textId="77777777" w:rsidR="00306C43" w:rsidRPr="0041204F" w:rsidRDefault="00306C43" w:rsidP="00C73A60">
      <w:pPr>
        <w:pStyle w:val="BodyText"/>
      </w:pPr>
    </w:p>
    <w:p w14:paraId="627F9661" w14:textId="3EFAD5ED" w:rsidR="00306C43" w:rsidRPr="0041204F" w:rsidRDefault="00306C43" w:rsidP="00C73A60">
      <w:pPr>
        <w:pStyle w:val="BodyText"/>
        <w:rPr>
          <w:b/>
          <w:bCs/>
        </w:rPr>
      </w:pPr>
      <w:r w:rsidRPr="0041204F">
        <w:t>Importer</w:t>
      </w:r>
      <w:r w:rsidR="00BF6C14" w:rsidRPr="0041204F">
        <w:t>:</w:t>
      </w:r>
      <w:r w:rsidRPr="0041204F">
        <w:t xml:space="preserve"> means the person lodging a customs declaration for release for free circulation of goods in its own name and on its own behalf or, where the customs declaration is lodged by an indirect customs representative in accordance with EU law, the person on whose behalf such a declaration is lodged.</w:t>
      </w:r>
    </w:p>
    <w:p w14:paraId="1E6ABBDE" w14:textId="77777777" w:rsidR="00306C43" w:rsidRPr="0041204F" w:rsidRDefault="00306C43" w:rsidP="00C73A60">
      <w:pPr>
        <w:pStyle w:val="BodyText"/>
      </w:pPr>
    </w:p>
    <w:p w14:paraId="62F4175C" w14:textId="3F89204B" w:rsidR="00306C43" w:rsidRPr="0041204F" w:rsidRDefault="00306C43" w:rsidP="00C73A60">
      <w:pPr>
        <w:pStyle w:val="BodyText"/>
        <w:rPr>
          <w:b/>
          <w:bCs/>
        </w:rPr>
      </w:pPr>
      <w:r w:rsidRPr="0041204F">
        <w:t>Indirect emissions</w:t>
      </w:r>
      <w:r w:rsidR="00BF6C14" w:rsidRPr="0041204F">
        <w:t>:</w:t>
      </w:r>
      <w:r w:rsidRPr="0041204F">
        <w:t xml:space="preserve"> </w:t>
      </w:r>
      <w:r w:rsidR="00696168" w:rsidRPr="0041204F">
        <w:t xml:space="preserve">the emissions from the production of </w:t>
      </w:r>
      <w:r w:rsidR="00D64E35" w:rsidRPr="0041204F">
        <w:rPr>
          <w:b/>
          <w:bCs/>
        </w:rPr>
        <w:t>electricity,</w:t>
      </w:r>
      <w:r w:rsidR="00696168" w:rsidRPr="0041204F">
        <w:t xml:space="preserve"> which is consumed during the production processes of goods, irrespective of the location of the production of the consumed electricity</w:t>
      </w:r>
    </w:p>
    <w:p w14:paraId="7C40F317" w14:textId="62BAC35F" w:rsidR="004E65D9" w:rsidRPr="0041204F" w:rsidRDefault="004E65D9" w:rsidP="00C73A60">
      <w:pPr>
        <w:pStyle w:val="BodyText"/>
      </w:pPr>
    </w:p>
    <w:p w14:paraId="31E603D5" w14:textId="5C3D18D2" w:rsidR="004E65D9" w:rsidRPr="0041204F" w:rsidRDefault="004E65D9" w:rsidP="00C73A60">
      <w:pPr>
        <w:pStyle w:val="BodyText"/>
        <w:rPr>
          <w:b/>
          <w:bCs/>
        </w:rPr>
      </w:pPr>
      <w:proofErr w:type="gramStart"/>
      <w:r w:rsidRPr="0041204F">
        <w:t>Installation</w:t>
      </w:r>
      <w:proofErr w:type="gramEnd"/>
      <w:r w:rsidRPr="0041204F">
        <w:t xml:space="preserve"> a stationary technical unit where a production process is carried out</w:t>
      </w:r>
    </w:p>
    <w:p w14:paraId="2EEE275A" w14:textId="0168733A" w:rsidR="004E65D9" w:rsidRDefault="004E65D9" w:rsidP="00C73A60">
      <w:pPr>
        <w:pStyle w:val="BodyText"/>
      </w:pPr>
    </w:p>
    <w:p w14:paraId="22895F28" w14:textId="009074E6" w:rsidR="00FC730B" w:rsidRPr="00D506C8" w:rsidRDefault="00940910" w:rsidP="00612116">
      <w:pPr>
        <w:pStyle w:val="Heading2"/>
      </w:pPr>
      <w:bookmarkStart w:id="10" w:name="_Toc227708055"/>
      <w:r w:rsidRPr="00D506C8">
        <w:t>CBAM Related Formulas</w:t>
      </w:r>
      <w:bookmarkEnd w:id="10"/>
    </w:p>
    <w:p w14:paraId="15305066" w14:textId="7C7EE6F0" w:rsidR="00C46501" w:rsidRPr="00C46501" w:rsidRDefault="00C46501" w:rsidP="00C6773A">
      <w:pPr>
        <w:pStyle w:val="Heading3"/>
        <w:numPr>
          <w:ilvl w:val="0"/>
          <w:numId w:val="0"/>
        </w:numPr>
        <w:rPr>
          <w:b/>
          <w:bCs/>
        </w:rPr>
      </w:pPr>
      <w:bookmarkStart w:id="11" w:name="_Toc227708056"/>
      <w:r w:rsidRPr="00C46501">
        <w:rPr>
          <w:u w:color="000000"/>
        </w:rPr>
        <w:t>CBAM Certificate Obligation Formula</w:t>
      </w:r>
      <w:bookmarkEnd w:id="11"/>
    </w:p>
    <w:p w14:paraId="176F65D8" w14:textId="292182BA" w:rsidR="00940910" w:rsidRPr="00612116" w:rsidRDefault="00940910" w:rsidP="00612116">
      <w:pPr>
        <w:pStyle w:val="BodyText"/>
        <w:numPr>
          <w:ilvl w:val="0"/>
          <w:numId w:val="39"/>
        </w:numPr>
        <w:spacing w:before="120" w:after="120"/>
        <w:rPr>
          <w:rFonts w:cs="Arial"/>
        </w:rPr>
      </w:pPr>
      <w:r w:rsidRPr="00612116">
        <w:rPr>
          <w:rFonts w:cs="Arial"/>
        </w:rPr>
        <w:t>CBAM Certificates = Specific Embedded Emissions (SEE) x Imported Quantity (tons)</w:t>
      </w:r>
    </w:p>
    <w:p w14:paraId="01CE2F13" w14:textId="77777777" w:rsidR="00C6773A" w:rsidRPr="00612116" w:rsidRDefault="00C6773A" w:rsidP="00612116">
      <w:pPr>
        <w:pStyle w:val="BodyText"/>
        <w:spacing w:before="120" w:after="120"/>
        <w:rPr>
          <w:rFonts w:cs="Arial"/>
          <w:u w:color="000000"/>
        </w:rPr>
      </w:pPr>
      <w:r w:rsidRPr="00612116">
        <w:rPr>
          <w:rFonts w:cs="Arial"/>
          <w:u w:color="000000"/>
        </w:rPr>
        <w:lastRenderedPageBreak/>
        <w:t>Where:</w:t>
      </w:r>
    </w:p>
    <w:p w14:paraId="5DF08E98" w14:textId="45AF7A16" w:rsidR="00C6773A" w:rsidRPr="00612116" w:rsidRDefault="00C6773A" w:rsidP="00612116">
      <w:pPr>
        <w:pStyle w:val="BodyText"/>
        <w:numPr>
          <w:ilvl w:val="0"/>
          <w:numId w:val="39"/>
        </w:numPr>
        <w:spacing w:before="120" w:after="120"/>
        <w:rPr>
          <w:rFonts w:cs="Arial"/>
          <w:u w:color="000000"/>
        </w:rPr>
      </w:pPr>
      <w:r w:rsidRPr="00612116">
        <w:rPr>
          <w:rFonts w:cs="Arial"/>
          <w:u w:color="000000"/>
        </w:rPr>
        <w:t xml:space="preserve">Specific Embedded Emissions (SEE) = </w:t>
      </w:r>
      <w:proofErr w:type="spellStart"/>
      <w:r w:rsidRPr="00612116">
        <w:rPr>
          <w:rFonts w:cs="Arial"/>
          <w:u w:color="000000"/>
        </w:rPr>
        <w:t>tCO</w:t>
      </w:r>
      <w:r w:rsidRPr="00612116">
        <w:rPr>
          <w:rFonts w:ascii="Cambria Math" w:hAnsi="Cambria Math" w:cs="Cambria Math"/>
          <w:u w:color="000000"/>
        </w:rPr>
        <w:t>₂</w:t>
      </w:r>
      <w:r w:rsidRPr="00612116">
        <w:rPr>
          <w:rFonts w:cs="Arial"/>
          <w:u w:color="000000"/>
        </w:rPr>
        <w:t>e</w:t>
      </w:r>
      <w:proofErr w:type="spellEnd"/>
      <w:r w:rsidRPr="00612116">
        <w:rPr>
          <w:rFonts w:cs="Arial"/>
          <w:u w:color="000000"/>
        </w:rPr>
        <w:t xml:space="preserve"> per </w:t>
      </w:r>
      <w:r w:rsidR="00612116" w:rsidRPr="00612116">
        <w:rPr>
          <w:rFonts w:cs="Arial"/>
          <w:u w:color="000000"/>
        </w:rPr>
        <w:t>ton</w:t>
      </w:r>
      <w:r w:rsidRPr="00612116">
        <w:rPr>
          <w:rFonts w:cs="Arial"/>
          <w:u w:color="000000"/>
        </w:rPr>
        <w:t xml:space="preserve"> of product</w:t>
      </w:r>
    </w:p>
    <w:p w14:paraId="709B3AE1" w14:textId="42794BD3" w:rsidR="00C6773A" w:rsidRPr="00612116" w:rsidRDefault="00C6773A" w:rsidP="00612116">
      <w:pPr>
        <w:pStyle w:val="BodyText"/>
        <w:numPr>
          <w:ilvl w:val="0"/>
          <w:numId w:val="38"/>
        </w:numPr>
        <w:spacing w:before="120" w:after="120"/>
        <w:rPr>
          <w:rFonts w:cs="Arial"/>
          <w:u w:color="000000"/>
        </w:rPr>
      </w:pPr>
      <w:r w:rsidRPr="00612116">
        <w:rPr>
          <w:rFonts w:cs="Arial"/>
          <w:u w:color="000000"/>
        </w:rPr>
        <w:t xml:space="preserve">Imported Quantity = </w:t>
      </w:r>
      <w:r w:rsidR="00612116" w:rsidRPr="00612116">
        <w:rPr>
          <w:rFonts w:cs="Arial"/>
          <w:u w:color="000000"/>
        </w:rPr>
        <w:t>tons</w:t>
      </w:r>
      <w:r w:rsidRPr="00612116">
        <w:rPr>
          <w:rFonts w:cs="Arial"/>
          <w:u w:color="000000"/>
        </w:rPr>
        <w:t xml:space="preserve"> of goods imported into the EU</w:t>
      </w:r>
    </w:p>
    <w:p w14:paraId="5619F66C" w14:textId="77777777" w:rsidR="00990895" w:rsidRPr="00990895" w:rsidRDefault="00990895" w:rsidP="00612116">
      <w:pPr>
        <w:pStyle w:val="Heading3"/>
        <w:numPr>
          <w:ilvl w:val="0"/>
          <w:numId w:val="0"/>
        </w:numPr>
        <w:spacing w:before="120" w:after="120"/>
        <w:rPr>
          <w:u w:color="000000"/>
        </w:rPr>
      </w:pPr>
      <w:bookmarkStart w:id="12" w:name="_Toc227708057"/>
      <w:r w:rsidRPr="00990895">
        <w:rPr>
          <w:u w:color="000000"/>
        </w:rPr>
        <w:t>Expanded Cost Calculation Formula</w:t>
      </w:r>
      <w:bookmarkEnd w:id="12"/>
    </w:p>
    <w:p w14:paraId="3D0F68CC" w14:textId="77777777" w:rsidR="00990895" w:rsidRPr="00375AF5" w:rsidRDefault="00990895" w:rsidP="00612116">
      <w:pPr>
        <w:pStyle w:val="BodyText"/>
        <w:spacing w:before="120" w:after="120"/>
      </w:pPr>
      <w:r w:rsidRPr="00990895">
        <w:rPr>
          <w:u w:color="000000"/>
        </w:rPr>
        <w:t>CBAM financial obligation (€):</w:t>
      </w:r>
    </w:p>
    <w:p w14:paraId="29998F8B" w14:textId="028DC5A3" w:rsidR="00990895" w:rsidRPr="00D506C8" w:rsidRDefault="00990895" w:rsidP="00612116">
      <w:pPr>
        <w:pStyle w:val="BodyText"/>
        <w:numPr>
          <w:ilvl w:val="0"/>
          <w:numId w:val="37"/>
        </w:numPr>
        <w:spacing w:before="120" w:after="120"/>
        <w:rPr>
          <w:u w:color="000000"/>
        </w:rPr>
      </w:pPr>
      <w:r w:rsidRPr="00D506C8">
        <w:t xml:space="preserve">CBAM Cost </w:t>
      </w:r>
      <w:r w:rsidRPr="00D506C8">
        <w:rPr>
          <w:u w:color="000000"/>
        </w:rPr>
        <w:t>(€)</w:t>
      </w:r>
      <w:r w:rsidRPr="00D506C8">
        <w:t xml:space="preserve"> = (SEE x Quantity) x EU ETS Carbon Price</w:t>
      </w:r>
    </w:p>
    <w:p w14:paraId="54860547" w14:textId="4913BA12" w:rsidR="00990895" w:rsidRPr="00D506C8" w:rsidRDefault="00990895" w:rsidP="00612116">
      <w:pPr>
        <w:pStyle w:val="BodyText"/>
        <w:spacing w:before="120" w:after="120"/>
        <w:rPr>
          <w:u w:color="000000"/>
        </w:rPr>
      </w:pPr>
      <w:r w:rsidRPr="00D506C8">
        <w:rPr>
          <w:u w:color="000000"/>
        </w:rPr>
        <w:t>Where:</w:t>
      </w:r>
    </w:p>
    <w:p w14:paraId="34854BA3" w14:textId="77777777" w:rsidR="00990895" w:rsidRPr="00D506C8" w:rsidRDefault="00990895" w:rsidP="00612116">
      <w:pPr>
        <w:pStyle w:val="BodyText"/>
        <w:numPr>
          <w:ilvl w:val="0"/>
          <w:numId w:val="36"/>
        </w:numPr>
        <w:spacing w:before="120" w:after="120"/>
        <w:rPr>
          <w:u w:color="000000"/>
        </w:rPr>
      </w:pPr>
      <w:r w:rsidRPr="00D506C8">
        <w:rPr>
          <w:u w:color="000000"/>
        </w:rPr>
        <w:t>EU ETS Carbon Price = average auction price of EU ETS allowances (€/</w:t>
      </w:r>
      <w:proofErr w:type="spellStart"/>
      <w:r w:rsidRPr="00D506C8">
        <w:rPr>
          <w:u w:color="000000"/>
        </w:rPr>
        <w:t>tCO</w:t>
      </w:r>
      <w:r w:rsidRPr="00D506C8">
        <w:rPr>
          <w:rFonts w:ascii="Cambria Math" w:hAnsi="Cambria Math" w:cs="Cambria Math"/>
          <w:u w:color="000000"/>
        </w:rPr>
        <w:t>₂</w:t>
      </w:r>
      <w:r w:rsidRPr="00D506C8">
        <w:rPr>
          <w:u w:color="000000"/>
        </w:rPr>
        <w:t>e</w:t>
      </w:r>
      <w:proofErr w:type="spellEnd"/>
      <w:r w:rsidRPr="00D506C8">
        <w:rPr>
          <w:u w:color="000000"/>
        </w:rPr>
        <w:t>)</w:t>
      </w:r>
    </w:p>
    <w:p w14:paraId="45C51A08" w14:textId="4E3F2A1E" w:rsidR="00940910" w:rsidRDefault="00375AF5" w:rsidP="00612116">
      <w:pPr>
        <w:pStyle w:val="Heading3"/>
        <w:numPr>
          <w:ilvl w:val="0"/>
          <w:numId w:val="0"/>
        </w:numPr>
        <w:spacing w:before="120" w:after="120"/>
      </w:pPr>
      <w:bookmarkStart w:id="13" w:name="_Toc227708058"/>
      <w:r w:rsidRPr="00C71855">
        <w:t>Net CBAM Obligation</w:t>
      </w:r>
      <w:bookmarkEnd w:id="13"/>
    </w:p>
    <w:p w14:paraId="664E5E12" w14:textId="15B01782" w:rsidR="00C73A60" w:rsidRDefault="00C71855" w:rsidP="00612116">
      <w:pPr>
        <w:pStyle w:val="BodyText"/>
        <w:spacing w:before="120" w:after="120"/>
      </w:pPr>
      <w:r w:rsidRPr="00C73A60">
        <w:t>During the definitive phase (from 2026), CBAM is phased in to mirror the phase out of free EU ETS allowances</w:t>
      </w:r>
      <w:r w:rsidR="00C73A60">
        <w:t>.</w:t>
      </w:r>
    </w:p>
    <w:p w14:paraId="42B49F18" w14:textId="7FB569EE" w:rsidR="00B53FD4" w:rsidRDefault="00B53FD4" w:rsidP="00612116">
      <w:pPr>
        <w:pStyle w:val="BodyText"/>
        <w:numPr>
          <w:ilvl w:val="0"/>
          <w:numId w:val="35"/>
        </w:numPr>
        <w:spacing w:before="120" w:after="120"/>
      </w:pPr>
      <w:r>
        <w:t>Net CBAM Certificates = (See x Quantity) x CBAM Factor</w:t>
      </w:r>
    </w:p>
    <w:p w14:paraId="3DBCF8AF" w14:textId="44C29204" w:rsidR="00B53FD4" w:rsidRDefault="00D506C8" w:rsidP="00612116">
      <w:pPr>
        <w:pStyle w:val="BodyText"/>
        <w:spacing w:before="120" w:after="120"/>
      </w:pPr>
      <w:r>
        <w:t>Where:</w:t>
      </w:r>
    </w:p>
    <w:p w14:paraId="7BFDB60C" w14:textId="55AFB296" w:rsidR="00D506C8" w:rsidRDefault="00D506C8" w:rsidP="00612116">
      <w:pPr>
        <w:pStyle w:val="BodyText"/>
        <w:numPr>
          <w:ilvl w:val="0"/>
          <w:numId w:val="35"/>
        </w:numPr>
        <w:spacing w:before="120" w:after="120"/>
      </w:pPr>
      <w:r>
        <w:t>CBAM Factor reflects remaining EU ETS Free allocation</w:t>
      </w:r>
    </w:p>
    <w:p w14:paraId="0AA4816F" w14:textId="56BB505D" w:rsidR="00FC730B" w:rsidRDefault="00D506C8" w:rsidP="00612116">
      <w:pPr>
        <w:pStyle w:val="BodyText"/>
        <w:numPr>
          <w:ilvl w:val="0"/>
          <w:numId w:val="35"/>
        </w:numPr>
        <w:spacing w:before="120" w:after="120"/>
      </w:pPr>
      <w:r>
        <w:t xml:space="preserve">Example (2026) CBAM Factor ~ 2.5% </w:t>
      </w:r>
      <w:r w:rsidR="00612116">
        <w:t xml:space="preserve">meaning importers pay for 2.5% </w:t>
      </w:r>
      <w:proofErr w:type="gramStart"/>
      <w:r w:rsidR="00612116">
        <w:t>of  embedded</w:t>
      </w:r>
      <w:proofErr w:type="gramEnd"/>
      <w:r w:rsidR="00612116">
        <w:t xml:space="preserve"> emissions.</w:t>
      </w:r>
    </w:p>
    <w:p w14:paraId="1AC7D961" w14:textId="7ED4E514" w:rsidR="00305107" w:rsidRPr="00612116" w:rsidRDefault="00305107" w:rsidP="00612116">
      <w:pPr>
        <w:pStyle w:val="Heading2"/>
      </w:pPr>
      <w:bookmarkStart w:id="14" w:name="_Toc227708059"/>
      <w:r w:rsidRPr="00612116">
        <w:t>CBAM Template Definitions</w:t>
      </w:r>
      <w:bookmarkEnd w:id="14"/>
    </w:p>
    <w:p w14:paraId="406E8F11" w14:textId="38B5EA63" w:rsidR="004D5B9D" w:rsidRPr="0041204F" w:rsidRDefault="004D5B9D" w:rsidP="007831C9">
      <w:r w:rsidRPr="0041204F">
        <w:rPr>
          <w:b/>
          <w:bCs/>
        </w:rPr>
        <w:t>Direct Emissions</w:t>
      </w:r>
      <w:r w:rsidR="00FC730B" w:rsidRPr="0041204F">
        <w:rPr>
          <w:b/>
          <w:bCs/>
        </w:rPr>
        <w:t>:</w:t>
      </w:r>
      <w:r w:rsidRPr="0041204F">
        <w:t xml:space="preserve"> the CO</w:t>
      </w:r>
      <w:r w:rsidRPr="0041204F">
        <w:rPr>
          <w:vertAlign w:val="subscript"/>
        </w:rPr>
        <w:t>2</w:t>
      </w:r>
      <w:r w:rsidRPr="0041204F">
        <w:t>e emissions from the product</w:t>
      </w:r>
      <w:r w:rsidR="004C5958" w:rsidRPr="0041204F">
        <w:t>ion</w:t>
      </w:r>
      <w:r w:rsidRPr="0041204F">
        <w:t xml:space="preserve"> process of go</w:t>
      </w:r>
      <w:r w:rsidR="004C5958" w:rsidRPr="0041204F">
        <w:t>o</w:t>
      </w:r>
      <w:r w:rsidRPr="0041204F">
        <w:t>ds, including emissions from the production of heating and cooling that is consumed during the production processes, irrespective of the location of the production of the heating or cooling.</w:t>
      </w:r>
    </w:p>
    <w:p w14:paraId="14A15700" w14:textId="3FDB8061" w:rsidR="004D5B9D" w:rsidRPr="0041204F" w:rsidRDefault="004D5B9D" w:rsidP="007831C9">
      <w:r w:rsidRPr="0041204F">
        <w:rPr>
          <w:b/>
          <w:bCs/>
        </w:rPr>
        <w:t>NOTE</w:t>
      </w:r>
      <w:r w:rsidRPr="0041204F">
        <w:t>: for the purposes of the AEM CBAM Template, the total direct emissions for a specific component or product are calculated based on the emissions generated from any fuel used during the production process of the component</w:t>
      </w:r>
      <w:r w:rsidR="002F3436" w:rsidRPr="0041204F">
        <w:t>, product or good</w:t>
      </w:r>
      <w:r w:rsidRPr="0041204F">
        <w:t xml:space="preserve"> under </w:t>
      </w:r>
      <w:r w:rsidR="00A72852" w:rsidRPr="0041204F">
        <w:t>consideration</w:t>
      </w:r>
      <w:r w:rsidRPr="0041204F">
        <w:t xml:space="preserve">, as well as the emissions from fuel used </w:t>
      </w:r>
      <w:r w:rsidR="00A72852" w:rsidRPr="0041204F">
        <w:t>during the production of the precursor materials sourced for the production of that component</w:t>
      </w:r>
      <w:r w:rsidR="002F3436" w:rsidRPr="0041204F">
        <w:t>, product or good</w:t>
      </w:r>
      <w:r w:rsidR="00A72852" w:rsidRPr="0041204F">
        <w:t>.</w:t>
      </w:r>
    </w:p>
    <w:p w14:paraId="4BC22925" w14:textId="79874F53" w:rsidR="009E47E3" w:rsidRPr="0041204F" w:rsidRDefault="009E47E3" w:rsidP="007831C9">
      <w:r w:rsidRPr="0041204F">
        <w:rPr>
          <w:b/>
          <w:bCs/>
        </w:rPr>
        <w:t>NOTE</w:t>
      </w:r>
      <w:r w:rsidRPr="0041204F">
        <w:t>: transportation and distribution activities are not included under CBAM</w:t>
      </w:r>
    </w:p>
    <w:p w14:paraId="2A921B35" w14:textId="52F5BF3A" w:rsidR="00712560" w:rsidRPr="0041204F" w:rsidRDefault="00305107" w:rsidP="007831C9">
      <w:r w:rsidRPr="0041204F">
        <w:rPr>
          <w:b/>
          <w:bCs/>
        </w:rPr>
        <w:t>Direct emissions per weight</w:t>
      </w:r>
      <w:r w:rsidR="00FC730B" w:rsidRPr="0041204F">
        <w:rPr>
          <w:b/>
          <w:bCs/>
        </w:rPr>
        <w:t>:</w:t>
      </w:r>
      <w:r w:rsidRPr="0041204F">
        <w:t xml:space="preserve"> </w:t>
      </w:r>
      <w:r w:rsidR="004D5B9D" w:rsidRPr="0041204F">
        <w:t>the</w:t>
      </w:r>
      <w:r w:rsidRPr="0041204F">
        <w:t xml:space="preserve"> </w:t>
      </w:r>
      <w:r w:rsidR="004D5B9D" w:rsidRPr="0041204F">
        <w:t>CO</w:t>
      </w:r>
      <w:r w:rsidR="004D5B9D" w:rsidRPr="0041204F">
        <w:rPr>
          <w:vertAlign w:val="subscript"/>
        </w:rPr>
        <w:t>2</w:t>
      </w:r>
      <w:r w:rsidR="004D5B9D" w:rsidRPr="0041204F">
        <w:t xml:space="preserve">e emissions related to the </w:t>
      </w:r>
      <w:r w:rsidRPr="0041204F">
        <w:t xml:space="preserve">fuel </w:t>
      </w:r>
      <w:r w:rsidR="004D5B9D" w:rsidRPr="0041204F">
        <w:t>consumption during the production process</w:t>
      </w:r>
      <w:r w:rsidRPr="0041204F">
        <w:t xml:space="preserve"> </w:t>
      </w:r>
      <w:r w:rsidR="004D5B9D" w:rsidRPr="0041204F">
        <w:t xml:space="preserve">summed with the direct emissions related to the production process of the precursor </w:t>
      </w:r>
      <w:r w:rsidR="00712560" w:rsidRPr="0041204F">
        <w:t>materials divided</w:t>
      </w:r>
      <w:r w:rsidRPr="0041204F">
        <w:t xml:space="preserve"> by</w:t>
      </w:r>
      <w:r w:rsidR="004D5B9D" w:rsidRPr="0041204F">
        <w:t xml:space="preserve"> the</w:t>
      </w:r>
      <w:r w:rsidRPr="0041204F">
        <w:t xml:space="preserve"> weight</w:t>
      </w:r>
      <w:r w:rsidR="004D5B9D" w:rsidRPr="0041204F">
        <w:t xml:space="preserve"> of the total production volume in tons.</w:t>
      </w:r>
    </w:p>
    <w:p w14:paraId="5F1FFD67" w14:textId="35EDBB65" w:rsidR="008C322F" w:rsidRPr="0041204F" w:rsidRDefault="00712560" w:rsidP="007831C9">
      <w:r w:rsidRPr="0041204F">
        <w:rPr>
          <w:b/>
          <w:bCs/>
        </w:rPr>
        <w:t>Electricity Emissions</w:t>
      </w:r>
      <w:r w:rsidR="00FC730B" w:rsidRPr="0041204F">
        <w:rPr>
          <w:b/>
          <w:bCs/>
        </w:rPr>
        <w:t>:</w:t>
      </w:r>
      <w:r w:rsidR="008C322F" w:rsidRPr="0041204F">
        <w:t xml:space="preserve"> </w:t>
      </w:r>
      <w:r w:rsidRPr="0041204F">
        <w:t>the</w:t>
      </w:r>
      <w:r w:rsidR="004D5B9D" w:rsidRPr="0041204F">
        <w:t xml:space="preserve"> </w:t>
      </w:r>
      <w:r w:rsidR="00A72852" w:rsidRPr="0041204F">
        <w:t>CO</w:t>
      </w:r>
      <w:r w:rsidR="00A72852" w:rsidRPr="0041204F">
        <w:rPr>
          <w:vertAlign w:val="subscript"/>
        </w:rPr>
        <w:t>2</w:t>
      </w:r>
      <w:r w:rsidR="00A72852" w:rsidRPr="0041204F">
        <w:t>e emissions generated from</w:t>
      </w:r>
      <w:r w:rsidR="009E47E3" w:rsidRPr="0041204F">
        <w:t xml:space="preserve"> the </w:t>
      </w:r>
      <w:r w:rsidR="004D5B9D" w:rsidRPr="0041204F">
        <w:t>electricity use</w:t>
      </w:r>
      <w:r w:rsidR="00A72852" w:rsidRPr="0041204F">
        <w:t>d</w:t>
      </w:r>
      <w:r w:rsidR="004D5B9D" w:rsidRPr="0041204F">
        <w:t xml:space="preserve"> during the production pro</w:t>
      </w:r>
      <w:r w:rsidR="00A72852" w:rsidRPr="0041204F">
        <w:t xml:space="preserve">cess. This </w:t>
      </w:r>
      <w:r w:rsidR="009E47E3" w:rsidRPr="0041204F">
        <w:t>value is c</w:t>
      </w:r>
      <w:r w:rsidR="008C322F" w:rsidRPr="0041204F">
        <w:t xml:space="preserve">alculated </w:t>
      </w:r>
      <w:r w:rsidR="009E47E3" w:rsidRPr="0041204F">
        <w:t>based on electricity u</w:t>
      </w:r>
      <w:r w:rsidR="008C322F" w:rsidRPr="0041204F">
        <w:t>sage</w:t>
      </w:r>
      <w:r w:rsidR="009E47E3" w:rsidRPr="0041204F">
        <w:t xml:space="preserve"> (kWh)</w:t>
      </w:r>
      <w:r w:rsidR="008C322F" w:rsidRPr="0041204F">
        <w:t xml:space="preserve"> over a 12-month period</w:t>
      </w:r>
      <w:r w:rsidR="009E47E3" w:rsidRPr="0041204F">
        <w:t xml:space="preserve"> multiplied by the carbon intensity of electricity (gCO</w:t>
      </w:r>
      <w:r w:rsidR="009E47E3" w:rsidRPr="0041204F">
        <w:rPr>
          <w:vertAlign w:val="subscript"/>
        </w:rPr>
        <w:t>2</w:t>
      </w:r>
      <w:r w:rsidR="009E47E3" w:rsidRPr="0041204F">
        <w:t>/kWh) purchased from the utility servicing the manufacturing facility where the component, product, or CBAM good is produced</w:t>
      </w:r>
      <w:r w:rsidR="004D5B9D" w:rsidRPr="0041204F">
        <w:t>.</w:t>
      </w:r>
      <w:r w:rsidR="009E47E3" w:rsidRPr="0041204F">
        <w:t xml:space="preserve"> </w:t>
      </w:r>
    </w:p>
    <w:p w14:paraId="3424DB84" w14:textId="09F2CC65" w:rsidR="00712560" w:rsidRPr="0041204F" w:rsidRDefault="00712560" w:rsidP="007831C9">
      <w:r w:rsidRPr="0041204F">
        <w:rPr>
          <w:b/>
          <w:bCs/>
        </w:rPr>
        <w:t>Emissions (Electricity)</w:t>
      </w:r>
      <w:r w:rsidR="00240254" w:rsidRPr="0041204F">
        <w:rPr>
          <w:b/>
          <w:bCs/>
        </w:rPr>
        <w:t>:</w:t>
      </w:r>
      <w:r w:rsidRPr="0041204F">
        <w:t xml:space="preserve"> are the same as electricity emissions.</w:t>
      </w:r>
    </w:p>
    <w:p w14:paraId="3F0A40D0" w14:textId="4297EB5A" w:rsidR="00712560" w:rsidRPr="0041204F" w:rsidRDefault="00712560" w:rsidP="007831C9">
      <w:r w:rsidRPr="0041204F">
        <w:rPr>
          <w:b/>
          <w:bCs/>
        </w:rPr>
        <w:t>Emissions (Fuel Usage)</w:t>
      </w:r>
      <w:r w:rsidR="00240254" w:rsidRPr="0041204F">
        <w:rPr>
          <w:b/>
          <w:bCs/>
        </w:rPr>
        <w:t>:</w:t>
      </w:r>
      <w:r w:rsidRPr="0041204F">
        <w:t xml:space="preserve"> are the same as Fuel Emissions</w:t>
      </w:r>
    </w:p>
    <w:p w14:paraId="422145CC" w14:textId="37EBB6D5" w:rsidR="00A72852" w:rsidRPr="0041204F" w:rsidRDefault="00305107" w:rsidP="00305107">
      <w:r w:rsidRPr="0041204F">
        <w:rPr>
          <w:b/>
          <w:bCs/>
        </w:rPr>
        <w:lastRenderedPageBreak/>
        <w:t>Electricity Usage</w:t>
      </w:r>
      <w:r w:rsidR="00491E33" w:rsidRPr="0041204F">
        <w:rPr>
          <w:b/>
          <w:bCs/>
        </w:rPr>
        <w:t>:</w:t>
      </w:r>
      <w:r w:rsidRPr="0041204F">
        <w:rPr>
          <w:b/>
          <w:bCs/>
        </w:rPr>
        <w:t xml:space="preserve"> </w:t>
      </w:r>
      <w:r w:rsidRPr="0041204F">
        <w:t xml:space="preserve">The electricity usage will be the electricity purchased from the grid and used at your facility (MWh, kWh, </w:t>
      </w:r>
      <w:r w:rsidR="009E47E3" w:rsidRPr="0041204F">
        <w:t xml:space="preserve">GWh, </w:t>
      </w:r>
      <w:r w:rsidRPr="0041204F">
        <w:t xml:space="preserve">BTU,) over a 12-month period. </w:t>
      </w:r>
    </w:p>
    <w:p w14:paraId="17415C9A" w14:textId="62BE85D6" w:rsidR="00305107" w:rsidRPr="0041204F" w:rsidRDefault="00305107" w:rsidP="00305107">
      <w:r w:rsidRPr="0041204F">
        <w:rPr>
          <w:b/>
          <w:bCs/>
        </w:rPr>
        <w:t>NOTE:</w:t>
      </w:r>
      <w:r w:rsidRPr="0041204F">
        <w:t xml:space="preserve"> Suppliers can use different units, but they must be consistent with their units to make sure the OEMs can calculate their final values. Example – if they are powering their site with a diesel generator, then this would go to fuel consumption. </w:t>
      </w:r>
    </w:p>
    <w:p w14:paraId="152F9AA9" w14:textId="5E4D054F" w:rsidR="00712560" w:rsidRPr="0041204F" w:rsidRDefault="00712560" w:rsidP="00305107">
      <w:r w:rsidRPr="0041204F">
        <w:rPr>
          <w:b/>
          <w:bCs/>
        </w:rPr>
        <w:t xml:space="preserve">Fuel Emissions: </w:t>
      </w:r>
      <w:r w:rsidRPr="0041204F">
        <w:t>The CO</w:t>
      </w:r>
      <w:r w:rsidRPr="0041204F">
        <w:rPr>
          <w:vertAlign w:val="subscript"/>
        </w:rPr>
        <w:t>2</w:t>
      </w:r>
      <w:r w:rsidRPr="0041204F">
        <w:t>e emissions generated from the fuel used during the manufacturing process of a component, product or CBAM good.</w:t>
      </w:r>
    </w:p>
    <w:p w14:paraId="57AD1A8A" w14:textId="1675CE79" w:rsidR="00B67CFC" w:rsidRPr="0041204F" w:rsidRDefault="00305107" w:rsidP="00305107">
      <w:r w:rsidRPr="0041204F">
        <w:rPr>
          <w:b/>
          <w:bCs/>
        </w:rPr>
        <w:t>Fuel Usage:</w:t>
      </w:r>
      <w:r w:rsidRPr="0041204F">
        <w:t xml:space="preserve"> This is the fuel used during the manufacturing process</w:t>
      </w:r>
      <w:r w:rsidR="009E47E3" w:rsidRPr="0041204F">
        <w:t xml:space="preserve"> of a component, product, or CBAM good. Fuel usage should only relate to the manipulation of covered CBAM goods and the products and components those goods go into. F</w:t>
      </w:r>
      <w:r w:rsidR="00B67CFC" w:rsidRPr="0041204F">
        <w:t>uel use for transportation on off-site logistics is out of scope of CBAM.</w:t>
      </w:r>
    </w:p>
    <w:p w14:paraId="6E5333B9" w14:textId="269E1B3C" w:rsidR="009E47E3" w:rsidRPr="0041204F" w:rsidRDefault="00B67CFC" w:rsidP="00305107">
      <w:r w:rsidRPr="0041204F">
        <w:rPr>
          <w:b/>
          <w:bCs/>
        </w:rPr>
        <w:t>NOTE</w:t>
      </w:r>
      <w:r w:rsidRPr="0041204F">
        <w:t>: Fuel use may include, but is not exclusive to, the following fuel types: butane, Compressed Natural Gas (CNG), Liquid Natural Gas (LNG), Natural Gas, Natural Gas (100% mineral blend), Aviation spirit, aviation turbine fuel, burning oil, propane, petroleum gas, diesel (average biofuel blend or 100% mineral diesel), fuel oil, gas oil, lubricants, naphtha, petrol (average biofuel blend or 100% mineral petrol), processed fuel oils – residual oil or distillate oil, waste oils, marine gas oil, marine fuel oil, coal (industrial, electricity generation, or domestic), coking coal, petroleum coke, and other miscellaneous fuel sources.</w:t>
      </w:r>
      <w:r w:rsidR="009E47E3" w:rsidRPr="0041204F">
        <w:t xml:space="preserve"> </w:t>
      </w:r>
    </w:p>
    <w:p w14:paraId="7C9DF6EE" w14:textId="02668F45" w:rsidR="00C21997" w:rsidRPr="0041204F" w:rsidRDefault="00A46B26" w:rsidP="00305107">
      <w:r w:rsidRPr="0041204F">
        <w:rPr>
          <w:b/>
          <w:bCs/>
        </w:rPr>
        <w:t>Indirect Emissions</w:t>
      </w:r>
      <w:r w:rsidR="00491E33" w:rsidRPr="0041204F">
        <w:rPr>
          <w:b/>
          <w:bCs/>
        </w:rPr>
        <w:t>:</w:t>
      </w:r>
      <w:r w:rsidRPr="0041204F">
        <w:t xml:space="preserve"> </w:t>
      </w:r>
      <w:r w:rsidR="00491E33" w:rsidRPr="0041204F">
        <w:t>emissions</w:t>
      </w:r>
      <w:r w:rsidRPr="0041204F">
        <w:t xml:space="preserve"> from the production of </w:t>
      </w:r>
      <w:r w:rsidR="00FC79D8" w:rsidRPr="0041204F">
        <w:t>electricity,</w:t>
      </w:r>
      <w:r w:rsidRPr="0041204F">
        <w:t xml:space="preserve"> which is consumed during the production processes of goods, irrespective of the location of the production of the consumed electricity.</w:t>
      </w:r>
      <w:r w:rsidR="00C21997">
        <w:t xml:space="preserve"> </w:t>
      </w:r>
    </w:p>
    <w:p w14:paraId="628443C0" w14:textId="1843F756" w:rsidR="00A46B26" w:rsidRDefault="00A46B26" w:rsidP="00305107">
      <w:r w:rsidRPr="0041204F">
        <w:rPr>
          <w:b/>
          <w:bCs/>
        </w:rPr>
        <w:t>NOTE:</w:t>
      </w:r>
      <w:r w:rsidRPr="0041204F">
        <w:t xml:space="preserve"> for the purposes of the AEM CBAM Template, the total indirect emissions for a specific component or product are calculated based on the emissions generated from </w:t>
      </w:r>
      <w:r w:rsidR="002F3436" w:rsidRPr="0041204F">
        <w:t xml:space="preserve">the </w:t>
      </w:r>
      <w:r w:rsidR="00FC79D8" w:rsidRPr="0041204F">
        <w:t>electricity</w:t>
      </w:r>
      <w:r w:rsidRPr="0041204F">
        <w:t xml:space="preserve"> used during the production process of the component</w:t>
      </w:r>
      <w:r w:rsidR="002F3436" w:rsidRPr="0041204F">
        <w:t>, product or good</w:t>
      </w:r>
      <w:r w:rsidRPr="0041204F">
        <w:t xml:space="preserve"> under consideration, as well as the emissions from </w:t>
      </w:r>
      <w:r w:rsidR="002F3436" w:rsidRPr="0041204F">
        <w:t>the electricity</w:t>
      </w:r>
      <w:r w:rsidRPr="0041204F">
        <w:t xml:space="preserve"> used during the production of the precursor materials sourced for the production of that component</w:t>
      </w:r>
      <w:r w:rsidR="002F3436" w:rsidRPr="0041204F">
        <w:t>, product or good</w:t>
      </w:r>
      <w:r w:rsidRPr="0041204F">
        <w:t>.</w:t>
      </w:r>
    </w:p>
    <w:p w14:paraId="242B8C46" w14:textId="63B69E84" w:rsidR="00E72489" w:rsidRPr="00E72489" w:rsidRDefault="00E72489" w:rsidP="00305107">
      <w:r w:rsidRPr="00E72489">
        <w:rPr>
          <w:b/>
          <w:bCs/>
        </w:rPr>
        <w:t>NOTE:</w:t>
      </w:r>
      <w:r>
        <w:t xml:space="preserve"> for the purposes of</w:t>
      </w:r>
      <w:r w:rsidR="0013785E">
        <w:t xml:space="preserve"> determining your CBAM costs for iron and steel and aluminum, indirect emissions are not applicable.</w:t>
      </w:r>
    </w:p>
    <w:p w14:paraId="4DA1EE16" w14:textId="539B355F" w:rsidR="00305107" w:rsidRPr="0041204F" w:rsidRDefault="00305107" w:rsidP="00305107">
      <w:r w:rsidRPr="0041204F">
        <w:rPr>
          <w:b/>
          <w:bCs/>
        </w:rPr>
        <w:t>Indirect emissions per weight</w:t>
      </w:r>
      <w:r w:rsidR="00491E33" w:rsidRPr="0041204F">
        <w:rPr>
          <w:b/>
          <w:bCs/>
        </w:rPr>
        <w:t>:</w:t>
      </w:r>
      <w:r w:rsidRPr="0041204F">
        <w:t xml:space="preserve"> </w:t>
      </w:r>
      <w:r w:rsidR="004C5958" w:rsidRPr="0041204F">
        <w:t>the CO</w:t>
      </w:r>
      <w:r w:rsidR="004C5958" w:rsidRPr="0041204F">
        <w:rPr>
          <w:vertAlign w:val="subscript"/>
        </w:rPr>
        <w:t>2</w:t>
      </w:r>
      <w:r w:rsidR="004C5958" w:rsidRPr="0041204F">
        <w:t>e emissions from the production process of goods, including emissions from the production of heating and cooling that is consumed during the production processes, irrespective of the location of the production of the heating or cooling.</w:t>
      </w:r>
      <w:r w:rsidR="002F3436" w:rsidRPr="0041204F">
        <w:t xml:space="preserve"> </w:t>
      </w:r>
      <w:r w:rsidRPr="0041204F">
        <w:t xml:space="preserve">indirect emissions divided by the </w:t>
      </w:r>
      <w:r w:rsidR="002F3436" w:rsidRPr="0041204F">
        <w:t>total production volume.</w:t>
      </w:r>
    </w:p>
    <w:p w14:paraId="5C7D0554" w14:textId="722E12AC" w:rsidR="003F68AD" w:rsidRPr="0041204F" w:rsidRDefault="003F68AD" w:rsidP="00305107">
      <w:r w:rsidRPr="0041204F">
        <w:rPr>
          <w:b/>
          <w:bCs/>
        </w:rPr>
        <w:t>Precursor Direction emissions:</w:t>
      </w:r>
      <w:r w:rsidRPr="0041204F">
        <w:t xml:space="preserve"> </w:t>
      </w:r>
      <w:r w:rsidR="00712560" w:rsidRPr="0041204F">
        <w:t>the CO</w:t>
      </w:r>
      <w:r w:rsidR="00712560" w:rsidRPr="0041204F">
        <w:rPr>
          <w:vertAlign w:val="subscript"/>
        </w:rPr>
        <w:t>2</w:t>
      </w:r>
      <w:r w:rsidR="00712560" w:rsidRPr="0041204F">
        <w:t>e emissions from the production process of the precursor materials, this includes emissions from the production of heating and cooling that is consumed during the production processes, irrespective of the location of the production of the heating or cooling.</w:t>
      </w:r>
    </w:p>
    <w:p w14:paraId="31C769F9" w14:textId="71097516" w:rsidR="00712560" w:rsidRPr="0041204F" w:rsidRDefault="00712560" w:rsidP="00305107">
      <w:r w:rsidRPr="0041204F">
        <w:rPr>
          <w:b/>
          <w:bCs/>
        </w:rPr>
        <w:lastRenderedPageBreak/>
        <w:t>Precursor Indirect emissions:</w:t>
      </w:r>
      <w:r w:rsidRPr="0041204F">
        <w:t xml:space="preserve"> </w:t>
      </w:r>
      <w:r w:rsidR="00807B93" w:rsidRPr="0041204F">
        <w:t>emissions</w:t>
      </w:r>
      <w:r w:rsidRPr="0041204F">
        <w:t xml:space="preserve"> from the production of electricity which is consumed during the production processes of precursor materials, irrespective of the location of the production of the consumed electricity.</w:t>
      </w:r>
    </w:p>
    <w:p w14:paraId="4ECFFE37" w14:textId="164B2953" w:rsidR="0063259A" w:rsidRPr="0041204F" w:rsidRDefault="0063259A" w:rsidP="00305107">
      <w:r w:rsidRPr="0041204F">
        <w:rPr>
          <w:b/>
          <w:bCs/>
        </w:rPr>
        <w:t>Precursor</w:t>
      </w:r>
      <w:r w:rsidR="00305107" w:rsidRPr="0041204F">
        <w:rPr>
          <w:b/>
          <w:bCs/>
        </w:rPr>
        <w:t xml:space="preserve"> Material Usage:</w:t>
      </w:r>
      <w:r w:rsidR="00305107" w:rsidRPr="0041204F">
        <w:t xml:space="preserve"> </w:t>
      </w:r>
      <w:r w:rsidRPr="0041204F">
        <w:t xml:space="preserve">the raw materials used in the production of complex CBAM goods that are themselves considered CBAM goods. </w:t>
      </w:r>
    </w:p>
    <w:p w14:paraId="24214AEE" w14:textId="45508529" w:rsidR="0063259A" w:rsidRPr="0041204F" w:rsidRDefault="0063259A" w:rsidP="00305107">
      <w:r w:rsidRPr="0041204F">
        <w:t xml:space="preserve">Precursor materials may include, but are not exclusively, iron &amp; steel products, crude steel, direct reduced iron, pig iron, alloys – </w:t>
      </w:r>
      <w:proofErr w:type="spellStart"/>
      <w:r w:rsidRPr="0041204F">
        <w:t>FeMn</w:t>
      </w:r>
      <w:proofErr w:type="spellEnd"/>
      <w:r w:rsidRPr="0041204F">
        <w:t xml:space="preserve">, Alloys – </w:t>
      </w:r>
      <w:proofErr w:type="spellStart"/>
      <w:r w:rsidRPr="0041204F">
        <w:t>FeCr</w:t>
      </w:r>
      <w:proofErr w:type="spellEnd"/>
      <w:r w:rsidRPr="0041204F">
        <w:t xml:space="preserve">, Alloys – FeNi, sintered ore, hydrogen, or other supplier determined products. </w:t>
      </w:r>
      <w:r w:rsidR="00712560" w:rsidRPr="0041204F">
        <w:t xml:space="preserve">The unit measurements of each material should be listed in tons. </w:t>
      </w:r>
    </w:p>
    <w:p w14:paraId="6BA40A2D" w14:textId="69708DD6" w:rsidR="00712560" w:rsidRPr="0041204F" w:rsidRDefault="006C6D76" w:rsidP="007831C9">
      <w:r w:rsidRPr="0041204F">
        <w:rPr>
          <w:b/>
          <w:bCs/>
        </w:rPr>
        <w:t>NOTE</w:t>
      </w:r>
      <w:r w:rsidRPr="0041204F">
        <w:t xml:space="preserve">: </w:t>
      </w:r>
      <w:r w:rsidR="00E26372" w:rsidRPr="0041204F">
        <w:t xml:space="preserve">Auto-Generated </w:t>
      </w:r>
      <w:r w:rsidRPr="0041204F">
        <w:t xml:space="preserve">Direct and Indirect emission </w:t>
      </w:r>
      <w:r w:rsidR="00305107" w:rsidRPr="0041204F">
        <w:t xml:space="preserve">values in </w:t>
      </w:r>
      <w:r w:rsidRPr="0041204F">
        <w:t xml:space="preserve">the AEM CBAM template </w:t>
      </w:r>
      <w:r w:rsidR="00305107" w:rsidRPr="0041204F">
        <w:t>are default values</w:t>
      </w:r>
      <w:r w:rsidRPr="0041204F">
        <w:t xml:space="preserve">. If </w:t>
      </w:r>
      <w:r w:rsidR="003F68AD" w:rsidRPr="0041204F">
        <w:t>a supplier wants to list their own precursor materials with their own direct and indirect emission values, the template</w:t>
      </w:r>
      <w:r w:rsidRPr="0041204F">
        <w:t xml:space="preserve"> provides</w:t>
      </w:r>
      <w:r w:rsidR="00305107" w:rsidRPr="0041204F">
        <w:t xml:space="preserve"> a custom value for them to provide thi</w:t>
      </w:r>
      <w:r w:rsidR="003F68AD" w:rsidRPr="0041204F">
        <w:t>s information</w:t>
      </w:r>
      <w:r w:rsidR="00305107" w:rsidRPr="0041204F">
        <w:t xml:space="preserve">. </w:t>
      </w:r>
      <w:r w:rsidR="003F68AD" w:rsidRPr="0041204F">
        <w:t xml:space="preserve">To accomplish this, the person who wishes to put this information into the spreadsheet would need to add the precursor material name as well as the direct and indirect emissions values to the Precursor Materials Tab in the spreadsheet. </w:t>
      </w:r>
      <w:r w:rsidR="00305107" w:rsidRPr="0041204F">
        <w:tab/>
      </w:r>
    </w:p>
    <w:p w14:paraId="0CF97FC0" w14:textId="3EB5DB86" w:rsidR="00807B93" w:rsidRPr="0041204F" w:rsidRDefault="00712560" w:rsidP="007831C9">
      <w:r w:rsidRPr="0041204F">
        <w:rPr>
          <w:b/>
          <w:bCs/>
        </w:rPr>
        <w:t>Raw Materials Direct Emissions</w:t>
      </w:r>
      <w:r w:rsidR="00491E33" w:rsidRPr="0041204F">
        <w:rPr>
          <w:b/>
          <w:bCs/>
        </w:rPr>
        <w:t>:</w:t>
      </w:r>
      <w:r w:rsidRPr="0041204F">
        <w:t xml:space="preserve"> </w:t>
      </w:r>
      <w:r w:rsidR="00807B93" w:rsidRPr="0041204F">
        <w:t>the total direct CO</w:t>
      </w:r>
      <w:r w:rsidR="00807B93" w:rsidRPr="0041204F">
        <w:rPr>
          <w:vertAlign w:val="subscript"/>
        </w:rPr>
        <w:t>2</w:t>
      </w:r>
      <w:r w:rsidR="00807B93" w:rsidRPr="0041204F">
        <w:t>e emissions from the production of precursor materials</w:t>
      </w:r>
    </w:p>
    <w:p w14:paraId="6A05435F" w14:textId="61B36E88" w:rsidR="00305107" w:rsidRPr="0041204F" w:rsidRDefault="00807B93" w:rsidP="007831C9">
      <w:r w:rsidRPr="0041204F">
        <w:rPr>
          <w:b/>
          <w:bCs/>
        </w:rPr>
        <w:t>Raw Material Indirect Emissions</w:t>
      </w:r>
      <w:r w:rsidR="00491E33" w:rsidRPr="0041204F">
        <w:rPr>
          <w:b/>
          <w:bCs/>
        </w:rPr>
        <w:t>:</w:t>
      </w:r>
      <w:r w:rsidRPr="0041204F">
        <w:t xml:space="preserve"> the total indirect CO</w:t>
      </w:r>
      <w:r w:rsidRPr="0041204F">
        <w:rPr>
          <w:vertAlign w:val="subscript"/>
        </w:rPr>
        <w:t>2</w:t>
      </w:r>
      <w:r w:rsidRPr="0041204F">
        <w:t>e emissions from the production of precursor materials.</w:t>
      </w:r>
    </w:p>
    <w:p w14:paraId="185E729D" w14:textId="15BEEEA6" w:rsidR="007831C9" w:rsidRPr="0041204F" w:rsidRDefault="007831C9" w:rsidP="007831C9">
      <w:r w:rsidRPr="0041204F">
        <w:rPr>
          <w:b/>
          <w:bCs/>
        </w:rPr>
        <w:t>Total Production Volume</w:t>
      </w:r>
      <w:r w:rsidR="008C322F" w:rsidRPr="0041204F">
        <w:rPr>
          <w:b/>
          <w:bCs/>
        </w:rPr>
        <w:t xml:space="preserve"> in tons</w:t>
      </w:r>
      <w:r w:rsidR="00491E33" w:rsidRPr="0041204F">
        <w:rPr>
          <w:b/>
          <w:bCs/>
        </w:rPr>
        <w:t>:</w:t>
      </w:r>
      <w:r w:rsidRPr="0041204F">
        <w:t xml:space="preserve"> Th</w:t>
      </w:r>
      <w:r w:rsidR="00712560" w:rsidRPr="0041204F">
        <w:t>is is the total weight of the component, product or goods produced expressed in tons of material.</w:t>
      </w:r>
    </w:p>
    <w:p w14:paraId="3E69C270" w14:textId="1A3BCD30" w:rsidR="00B46922" w:rsidRPr="0013785E" w:rsidRDefault="00B46922" w:rsidP="001732FF">
      <w:pPr>
        <w:pStyle w:val="Heading1"/>
      </w:pPr>
      <w:bookmarkStart w:id="15" w:name="_Toc227708060"/>
      <w:r w:rsidRPr="0013785E">
        <w:t>Default Values:</w:t>
      </w:r>
      <w:bookmarkEnd w:id="15"/>
    </w:p>
    <w:p w14:paraId="454178B7" w14:textId="434FD976" w:rsidR="00C80D10" w:rsidRPr="0013785E" w:rsidRDefault="00C80D10">
      <w:r w:rsidRPr="0013785E">
        <w:t>Default values are not uniform for a given</w:t>
      </w:r>
      <w:r w:rsidR="00DA5F51" w:rsidRPr="0013785E">
        <w:t xml:space="preserve"> CBAM good</w:t>
      </w:r>
      <w:r w:rsidRPr="0013785E">
        <w:t xml:space="preserve">. The EU publishes default values that vary based on the country of origin for </w:t>
      </w:r>
      <w:r w:rsidR="00DA5F51" w:rsidRPr="0013785E">
        <w:t>products w</w:t>
      </w:r>
      <w:r w:rsidR="003934CF" w:rsidRPr="0013785E">
        <w:t>ith the</w:t>
      </w:r>
      <w:r w:rsidRPr="0013785E">
        <w:t xml:space="preserve"> same CN code, meaning the same part or material can have materially different default embedded emissions values depending on where it is produced.</w:t>
      </w:r>
    </w:p>
    <w:p w14:paraId="6C35BA38" w14:textId="1EFDE917" w:rsidR="003934CF" w:rsidRPr="0013785E" w:rsidRDefault="003934CF">
      <w:pPr>
        <w:rPr>
          <w:lang w:eastAsia="en-US"/>
        </w:rPr>
      </w:pPr>
      <w:r w:rsidRPr="0013785E">
        <w:rPr>
          <w:lang w:eastAsia="en-US"/>
        </w:rPr>
        <w:t xml:space="preserve">Table 1: Example of </w:t>
      </w:r>
      <w:r w:rsidR="002B1C56" w:rsidRPr="0013785E">
        <w:rPr>
          <w:lang w:eastAsia="en-US"/>
        </w:rPr>
        <w:t>default values for the same product from different countries of origin</w:t>
      </w:r>
    </w:p>
    <w:tbl>
      <w:tblPr>
        <w:tblStyle w:val="GridTable1Light-Accent1"/>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7"/>
        <w:gridCol w:w="844"/>
        <w:gridCol w:w="5687"/>
        <w:gridCol w:w="1372"/>
      </w:tblGrid>
      <w:tr w:rsidR="00C80D10" w:rsidRPr="0013785E" w14:paraId="585FF693" w14:textId="77777777">
        <w:tc>
          <w:tcPr>
            <w:tcW w:w="0" w:type="auto"/>
            <w:tcBorders>
              <w:top w:val="single" w:sz="8" w:space="0" w:color="auto"/>
              <w:left w:val="single" w:sz="8" w:space="0" w:color="auto"/>
              <w:bottom w:val="single" w:sz="8" w:space="0" w:color="auto"/>
              <w:right w:val="single" w:sz="8" w:space="0" w:color="auto"/>
            </w:tcBorders>
            <w:shd w:val="clear" w:color="auto" w:fill="D9D9D9"/>
            <w:vAlign w:val="center"/>
            <w:hideMark/>
          </w:tcPr>
          <w:p w14:paraId="7B8CC760" w14:textId="77777777" w:rsidR="00C80D10" w:rsidRPr="0013785E" w:rsidRDefault="00C80D10">
            <w:pPr>
              <w:jc w:val="center"/>
              <w:rPr>
                <w:sz w:val="22"/>
                <w:szCs w:val="22"/>
                <w:lang w:eastAsia="en-US"/>
              </w:rPr>
            </w:pPr>
            <w:r w:rsidRPr="0013785E">
              <w:rPr>
                <w:b/>
                <w:bCs/>
                <w:color w:val="000000"/>
                <w:sz w:val="20"/>
                <w:szCs w:val="20"/>
              </w:rPr>
              <w:t>Country of origin</w:t>
            </w:r>
          </w:p>
        </w:tc>
        <w:tc>
          <w:tcPr>
            <w:tcW w:w="0" w:type="auto"/>
            <w:tcBorders>
              <w:top w:val="single" w:sz="8" w:space="0" w:color="auto"/>
              <w:left w:val="nil"/>
              <w:bottom w:val="single" w:sz="8" w:space="0" w:color="auto"/>
              <w:right w:val="single" w:sz="8" w:space="0" w:color="auto"/>
            </w:tcBorders>
            <w:shd w:val="clear" w:color="auto" w:fill="D9D9D9"/>
            <w:vAlign w:val="center"/>
            <w:hideMark/>
          </w:tcPr>
          <w:p w14:paraId="62C9B1F9" w14:textId="77777777" w:rsidR="00C80D10" w:rsidRPr="0013785E" w:rsidRDefault="00C80D10">
            <w:pPr>
              <w:jc w:val="center"/>
              <w:rPr>
                <w:sz w:val="22"/>
                <w:szCs w:val="22"/>
              </w:rPr>
            </w:pPr>
            <w:r w:rsidRPr="0013785E">
              <w:rPr>
                <w:b/>
                <w:bCs/>
                <w:color w:val="000000"/>
                <w:sz w:val="20"/>
                <w:szCs w:val="20"/>
              </w:rPr>
              <w:t>CN code</w:t>
            </w:r>
          </w:p>
        </w:tc>
        <w:tc>
          <w:tcPr>
            <w:tcW w:w="0" w:type="auto"/>
            <w:tcBorders>
              <w:top w:val="single" w:sz="8" w:space="0" w:color="auto"/>
              <w:left w:val="nil"/>
              <w:bottom w:val="single" w:sz="8" w:space="0" w:color="auto"/>
              <w:right w:val="single" w:sz="8" w:space="0" w:color="auto"/>
            </w:tcBorders>
            <w:shd w:val="clear" w:color="auto" w:fill="D9D9D9"/>
            <w:vAlign w:val="center"/>
            <w:hideMark/>
          </w:tcPr>
          <w:p w14:paraId="6EBD8049" w14:textId="77777777" w:rsidR="00C80D10" w:rsidRPr="0013785E" w:rsidRDefault="00C80D10">
            <w:pPr>
              <w:jc w:val="center"/>
              <w:rPr>
                <w:sz w:val="22"/>
                <w:szCs w:val="22"/>
              </w:rPr>
            </w:pPr>
            <w:r w:rsidRPr="0013785E">
              <w:rPr>
                <w:b/>
                <w:bCs/>
                <w:color w:val="000000"/>
                <w:sz w:val="20"/>
                <w:szCs w:val="20"/>
              </w:rPr>
              <w:t>Product (description)</w:t>
            </w:r>
          </w:p>
        </w:tc>
        <w:tc>
          <w:tcPr>
            <w:tcW w:w="0" w:type="auto"/>
            <w:tcBorders>
              <w:top w:val="single" w:sz="8" w:space="0" w:color="auto"/>
              <w:left w:val="nil"/>
              <w:bottom w:val="single" w:sz="8" w:space="0" w:color="auto"/>
              <w:right w:val="single" w:sz="8" w:space="0" w:color="auto"/>
            </w:tcBorders>
            <w:shd w:val="clear" w:color="auto" w:fill="D9D9D9"/>
            <w:vAlign w:val="center"/>
            <w:hideMark/>
          </w:tcPr>
          <w:p w14:paraId="76EF60C2" w14:textId="77777777" w:rsidR="00C80D10" w:rsidRPr="0013785E" w:rsidRDefault="00C80D10">
            <w:pPr>
              <w:jc w:val="center"/>
              <w:rPr>
                <w:sz w:val="22"/>
                <w:szCs w:val="22"/>
              </w:rPr>
            </w:pPr>
            <w:r w:rsidRPr="0013785E">
              <w:rPr>
                <w:b/>
                <w:bCs/>
                <w:color w:val="000000"/>
                <w:sz w:val="20"/>
                <w:szCs w:val="20"/>
              </w:rPr>
              <w:t>2026 default value</w:t>
            </w:r>
          </w:p>
        </w:tc>
      </w:tr>
      <w:tr w:rsidR="00C80D10" w:rsidRPr="0013785E" w14:paraId="5CA18A3F" w14:textId="77777777">
        <w:tc>
          <w:tcPr>
            <w:tcW w:w="0" w:type="auto"/>
            <w:tcBorders>
              <w:top w:val="nil"/>
              <w:left w:val="single" w:sz="8" w:space="0" w:color="auto"/>
              <w:bottom w:val="single" w:sz="8" w:space="0" w:color="auto"/>
              <w:right w:val="single" w:sz="8" w:space="0" w:color="auto"/>
            </w:tcBorders>
            <w:shd w:val="clear" w:color="auto" w:fill="F2F2F2"/>
            <w:vAlign w:val="center"/>
            <w:hideMark/>
          </w:tcPr>
          <w:p w14:paraId="7483483B" w14:textId="77777777" w:rsidR="00C80D10" w:rsidRPr="0013785E" w:rsidRDefault="00C80D10">
            <w:pPr>
              <w:rPr>
                <w:sz w:val="22"/>
                <w:szCs w:val="22"/>
              </w:rPr>
            </w:pPr>
            <w:r w:rsidRPr="0013785E">
              <w:rPr>
                <w:sz w:val="20"/>
                <w:szCs w:val="20"/>
              </w:rPr>
              <w:t>Indonesia</w:t>
            </w:r>
          </w:p>
        </w:tc>
        <w:tc>
          <w:tcPr>
            <w:tcW w:w="0" w:type="auto"/>
            <w:tcBorders>
              <w:top w:val="nil"/>
              <w:left w:val="nil"/>
              <w:bottom w:val="single" w:sz="8" w:space="0" w:color="auto"/>
              <w:right w:val="single" w:sz="8" w:space="0" w:color="auto"/>
            </w:tcBorders>
            <w:vAlign w:val="center"/>
            <w:hideMark/>
          </w:tcPr>
          <w:p w14:paraId="6B76EFAD" w14:textId="77777777" w:rsidR="00C80D10" w:rsidRPr="0013785E" w:rsidRDefault="00C80D10">
            <w:pPr>
              <w:jc w:val="center"/>
              <w:rPr>
                <w:sz w:val="22"/>
                <w:szCs w:val="22"/>
              </w:rPr>
            </w:pPr>
            <w:r w:rsidRPr="0013785E">
              <w:rPr>
                <w:sz w:val="20"/>
                <w:szCs w:val="20"/>
              </w:rPr>
              <w:t>7318 15</w:t>
            </w:r>
          </w:p>
        </w:tc>
        <w:tc>
          <w:tcPr>
            <w:tcW w:w="0" w:type="auto"/>
            <w:tcBorders>
              <w:top w:val="nil"/>
              <w:left w:val="nil"/>
              <w:bottom w:val="single" w:sz="8" w:space="0" w:color="auto"/>
              <w:right w:val="single" w:sz="8" w:space="0" w:color="auto"/>
            </w:tcBorders>
            <w:vAlign w:val="center"/>
            <w:hideMark/>
          </w:tcPr>
          <w:p w14:paraId="4CD59D95" w14:textId="77777777" w:rsidR="00C80D10" w:rsidRPr="0013785E" w:rsidRDefault="00C80D10">
            <w:pPr>
              <w:rPr>
                <w:sz w:val="22"/>
                <w:szCs w:val="22"/>
              </w:rPr>
            </w:pPr>
            <w:r w:rsidRPr="0013785E">
              <w:rPr>
                <w:sz w:val="20"/>
                <w:szCs w:val="20"/>
              </w:rPr>
              <w:t>Threaded screws and bolts, of iron or steel (</w:t>
            </w:r>
            <w:proofErr w:type="gramStart"/>
            <w:r w:rsidRPr="0013785E">
              <w:rPr>
                <w:sz w:val="20"/>
                <w:szCs w:val="20"/>
              </w:rPr>
              <w:t>whether or not</w:t>
            </w:r>
            <w:proofErr w:type="gramEnd"/>
            <w:r w:rsidRPr="0013785E">
              <w:rPr>
                <w:sz w:val="20"/>
                <w:szCs w:val="20"/>
              </w:rPr>
              <w:t xml:space="preserve"> with their nuts and washers), excluding certain categories</w:t>
            </w:r>
          </w:p>
        </w:tc>
        <w:tc>
          <w:tcPr>
            <w:tcW w:w="0" w:type="auto"/>
            <w:tcBorders>
              <w:top w:val="nil"/>
              <w:left w:val="nil"/>
              <w:bottom w:val="single" w:sz="8" w:space="0" w:color="auto"/>
              <w:right w:val="single" w:sz="8" w:space="0" w:color="auto"/>
            </w:tcBorders>
            <w:vAlign w:val="center"/>
            <w:hideMark/>
          </w:tcPr>
          <w:p w14:paraId="3A0B3FF6" w14:textId="77777777" w:rsidR="00C80D10" w:rsidRPr="0013785E" w:rsidRDefault="00C80D10">
            <w:pPr>
              <w:jc w:val="center"/>
              <w:rPr>
                <w:sz w:val="22"/>
                <w:szCs w:val="22"/>
              </w:rPr>
            </w:pPr>
            <w:r w:rsidRPr="0013785E">
              <w:rPr>
                <w:sz w:val="20"/>
                <w:szCs w:val="20"/>
              </w:rPr>
              <w:t>9.053</w:t>
            </w:r>
          </w:p>
        </w:tc>
      </w:tr>
      <w:tr w:rsidR="00C80D10" w:rsidRPr="0013785E" w14:paraId="5426F900" w14:textId="77777777">
        <w:tc>
          <w:tcPr>
            <w:tcW w:w="0" w:type="auto"/>
            <w:tcBorders>
              <w:top w:val="nil"/>
              <w:left w:val="single" w:sz="8" w:space="0" w:color="auto"/>
              <w:bottom w:val="single" w:sz="8" w:space="0" w:color="auto"/>
              <w:right w:val="single" w:sz="8" w:space="0" w:color="auto"/>
            </w:tcBorders>
            <w:shd w:val="clear" w:color="auto" w:fill="F2F2F2"/>
            <w:vAlign w:val="center"/>
            <w:hideMark/>
          </w:tcPr>
          <w:p w14:paraId="3C417079" w14:textId="77777777" w:rsidR="00C80D10" w:rsidRPr="0013785E" w:rsidRDefault="00C80D10">
            <w:pPr>
              <w:rPr>
                <w:sz w:val="22"/>
                <w:szCs w:val="22"/>
              </w:rPr>
            </w:pPr>
            <w:r w:rsidRPr="0013785E">
              <w:rPr>
                <w:sz w:val="20"/>
                <w:szCs w:val="20"/>
              </w:rPr>
              <w:lastRenderedPageBreak/>
              <w:t>Brazil</w:t>
            </w:r>
          </w:p>
        </w:tc>
        <w:tc>
          <w:tcPr>
            <w:tcW w:w="0" w:type="auto"/>
            <w:tcBorders>
              <w:top w:val="nil"/>
              <w:left w:val="nil"/>
              <w:bottom w:val="single" w:sz="8" w:space="0" w:color="auto"/>
              <w:right w:val="single" w:sz="8" w:space="0" w:color="auto"/>
            </w:tcBorders>
            <w:vAlign w:val="center"/>
            <w:hideMark/>
          </w:tcPr>
          <w:p w14:paraId="3584A6C7" w14:textId="77777777" w:rsidR="00C80D10" w:rsidRPr="0013785E" w:rsidRDefault="00C80D10">
            <w:pPr>
              <w:jc w:val="center"/>
              <w:rPr>
                <w:sz w:val="22"/>
                <w:szCs w:val="22"/>
              </w:rPr>
            </w:pPr>
            <w:r w:rsidRPr="0013785E">
              <w:rPr>
                <w:sz w:val="20"/>
                <w:szCs w:val="20"/>
              </w:rPr>
              <w:t>7318 15</w:t>
            </w:r>
          </w:p>
        </w:tc>
        <w:tc>
          <w:tcPr>
            <w:tcW w:w="0" w:type="auto"/>
            <w:tcBorders>
              <w:top w:val="nil"/>
              <w:left w:val="nil"/>
              <w:bottom w:val="single" w:sz="8" w:space="0" w:color="auto"/>
              <w:right w:val="single" w:sz="8" w:space="0" w:color="auto"/>
            </w:tcBorders>
            <w:vAlign w:val="center"/>
            <w:hideMark/>
          </w:tcPr>
          <w:p w14:paraId="3CFEEB72" w14:textId="77777777" w:rsidR="00C80D10" w:rsidRPr="0013785E" w:rsidRDefault="00C80D10">
            <w:pPr>
              <w:rPr>
                <w:sz w:val="22"/>
                <w:szCs w:val="22"/>
              </w:rPr>
            </w:pPr>
            <w:r w:rsidRPr="0013785E">
              <w:rPr>
                <w:sz w:val="20"/>
                <w:szCs w:val="20"/>
              </w:rPr>
              <w:t>Threaded screws and bolts, of iron or steel (</w:t>
            </w:r>
            <w:proofErr w:type="gramStart"/>
            <w:r w:rsidRPr="0013785E">
              <w:rPr>
                <w:sz w:val="20"/>
                <w:szCs w:val="20"/>
              </w:rPr>
              <w:t>whether or not</w:t>
            </w:r>
            <w:proofErr w:type="gramEnd"/>
            <w:r w:rsidRPr="0013785E">
              <w:rPr>
                <w:sz w:val="20"/>
                <w:szCs w:val="20"/>
              </w:rPr>
              <w:t xml:space="preserve"> with their nuts and washers), excluding certain categories</w:t>
            </w:r>
          </w:p>
        </w:tc>
        <w:tc>
          <w:tcPr>
            <w:tcW w:w="0" w:type="auto"/>
            <w:tcBorders>
              <w:top w:val="nil"/>
              <w:left w:val="nil"/>
              <w:bottom w:val="single" w:sz="8" w:space="0" w:color="auto"/>
              <w:right w:val="single" w:sz="8" w:space="0" w:color="auto"/>
            </w:tcBorders>
            <w:vAlign w:val="center"/>
            <w:hideMark/>
          </w:tcPr>
          <w:p w14:paraId="1A9B5560" w14:textId="77777777" w:rsidR="00C80D10" w:rsidRPr="0013785E" w:rsidRDefault="00C80D10">
            <w:pPr>
              <w:jc w:val="center"/>
              <w:rPr>
                <w:sz w:val="22"/>
                <w:szCs w:val="22"/>
              </w:rPr>
            </w:pPr>
            <w:r w:rsidRPr="0013785E">
              <w:rPr>
                <w:sz w:val="20"/>
                <w:szCs w:val="20"/>
              </w:rPr>
              <w:t>2.816</w:t>
            </w:r>
          </w:p>
        </w:tc>
      </w:tr>
      <w:tr w:rsidR="00C80D10" w:rsidRPr="0013785E" w14:paraId="03541508" w14:textId="77777777">
        <w:tc>
          <w:tcPr>
            <w:tcW w:w="0" w:type="auto"/>
            <w:tcBorders>
              <w:top w:val="nil"/>
              <w:left w:val="single" w:sz="8" w:space="0" w:color="auto"/>
              <w:bottom w:val="single" w:sz="8" w:space="0" w:color="auto"/>
              <w:right w:val="single" w:sz="8" w:space="0" w:color="auto"/>
            </w:tcBorders>
            <w:shd w:val="clear" w:color="auto" w:fill="F2F2F2"/>
            <w:vAlign w:val="center"/>
            <w:hideMark/>
          </w:tcPr>
          <w:p w14:paraId="762B4685" w14:textId="77777777" w:rsidR="00C80D10" w:rsidRPr="0013785E" w:rsidRDefault="00C80D10">
            <w:pPr>
              <w:rPr>
                <w:sz w:val="22"/>
                <w:szCs w:val="22"/>
              </w:rPr>
            </w:pPr>
            <w:r w:rsidRPr="0013785E">
              <w:rPr>
                <w:sz w:val="20"/>
                <w:szCs w:val="20"/>
              </w:rPr>
              <w:t>India</w:t>
            </w:r>
          </w:p>
        </w:tc>
        <w:tc>
          <w:tcPr>
            <w:tcW w:w="0" w:type="auto"/>
            <w:tcBorders>
              <w:top w:val="nil"/>
              <w:left w:val="nil"/>
              <w:bottom w:val="single" w:sz="8" w:space="0" w:color="auto"/>
              <w:right w:val="single" w:sz="8" w:space="0" w:color="auto"/>
            </w:tcBorders>
            <w:vAlign w:val="center"/>
            <w:hideMark/>
          </w:tcPr>
          <w:p w14:paraId="753D4E21" w14:textId="77777777" w:rsidR="00C80D10" w:rsidRPr="0013785E" w:rsidRDefault="00C80D10">
            <w:pPr>
              <w:jc w:val="center"/>
              <w:rPr>
                <w:sz w:val="22"/>
                <w:szCs w:val="22"/>
              </w:rPr>
            </w:pPr>
            <w:r w:rsidRPr="0013785E">
              <w:rPr>
                <w:sz w:val="20"/>
                <w:szCs w:val="20"/>
              </w:rPr>
              <w:t>7318 15</w:t>
            </w:r>
          </w:p>
        </w:tc>
        <w:tc>
          <w:tcPr>
            <w:tcW w:w="0" w:type="auto"/>
            <w:tcBorders>
              <w:top w:val="nil"/>
              <w:left w:val="nil"/>
              <w:bottom w:val="single" w:sz="8" w:space="0" w:color="auto"/>
              <w:right w:val="single" w:sz="8" w:space="0" w:color="auto"/>
            </w:tcBorders>
            <w:vAlign w:val="center"/>
            <w:hideMark/>
          </w:tcPr>
          <w:p w14:paraId="4BEB44E5" w14:textId="77777777" w:rsidR="00C80D10" w:rsidRPr="0013785E" w:rsidRDefault="00C80D10">
            <w:pPr>
              <w:rPr>
                <w:sz w:val="22"/>
                <w:szCs w:val="22"/>
              </w:rPr>
            </w:pPr>
            <w:r w:rsidRPr="0013785E">
              <w:rPr>
                <w:sz w:val="20"/>
                <w:szCs w:val="20"/>
              </w:rPr>
              <w:t>Threaded screws and bolts, of iron or steel (</w:t>
            </w:r>
            <w:proofErr w:type="gramStart"/>
            <w:r w:rsidRPr="0013785E">
              <w:rPr>
                <w:sz w:val="20"/>
                <w:szCs w:val="20"/>
              </w:rPr>
              <w:t>whether or not</w:t>
            </w:r>
            <w:proofErr w:type="gramEnd"/>
            <w:r w:rsidRPr="0013785E">
              <w:rPr>
                <w:sz w:val="20"/>
                <w:szCs w:val="20"/>
              </w:rPr>
              <w:t xml:space="preserve"> with their nuts and washers), excluding certain categories</w:t>
            </w:r>
          </w:p>
        </w:tc>
        <w:tc>
          <w:tcPr>
            <w:tcW w:w="0" w:type="auto"/>
            <w:tcBorders>
              <w:top w:val="nil"/>
              <w:left w:val="nil"/>
              <w:bottom w:val="single" w:sz="8" w:space="0" w:color="auto"/>
              <w:right w:val="single" w:sz="8" w:space="0" w:color="auto"/>
            </w:tcBorders>
            <w:vAlign w:val="center"/>
            <w:hideMark/>
          </w:tcPr>
          <w:p w14:paraId="1BBED73E" w14:textId="77777777" w:rsidR="00C80D10" w:rsidRPr="0013785E" w:rsidRDefault="00C80D10">
            <w:pPr>
              <w:jc w:val="center"/>
              <w:rPr>
                <w:sz w:val="22"/>
                <w:szCs w:val="22"/>
              </w:rPr>
            </w:pPr>
            <w:r w:rsidRPr="0013785E">
              <w:rPr>
                <w:sz w:val="20"/>
                <w:szCs w:val="20"/>
              </w:rPr>
              <w:t>6.292</w:t>
            </w:r>
          </w:p>
        </w:tc>
      </w:tr>
      <w:tr w:rsidR="00C80D10" w:rsidRPr="0013785E" w14:paraId="73D83C65" w14:textId="77777777">
        <w:tc>
          <w:tcPr>
            <w:tcW w:w="0" w:type="auto"/>
            <w:tcBorders>
              <w:top w:val="nil"/>
              <w:left w:val="single" w:sz="8" w:space="0" w:color="auto"/>
              <w:bottom w:val="single" w:sz="8" w:space="0" w:color="auto"/>
              <w:right w:val="single" w:sz="8" w:space="0" w:color="auto"/>
            </w:tcBorders>
            <w:shd w:val="clear" w:color="auto" w:fill="F2F2F2"/>
            <w:vAlign w:val="center"/>
            <w:hideMark/>
          </w:tcPr>
          <w:p w14:paraId="4BB78D87" w14:textId="77777777" w:rsidR="00C80D10" w:rsidRPr="0013785E" w:rsidRDefault="00C80D10">
            <w:pPr>
              <w:rPr>
                <w:sz w:val="22"/>
                <w:szCs w:val="22"/>
              </w:rPr>
            </w:pPr>
            <w:r w:rsidRPr="0013785E">
              <w:rPr>
                <w:sz w:val="20"/>
                <w:szCs w:val="20"/>
              </w:rPr>
              <w:t>United States</w:t>
            </w:r>
          </w:p>
        </w:tc>
        <w:tc>
          <w:tcPr>
            <w:tcW w:w="0" w:type="auto"/>
            <w:tcBorders>
              <w:top w:val="nil"/>
              <w:left w:val="nil"/>
              <w:bottom w:val="single" w:sz="8" w:space="0" w:color="auto"/>
              <w:right w:val="single" w:sz="8" w:space="0" w:color="auto"/>
            </w:tcBorders>
            <w:vAlign w:val="center"/>
            <w:hideMark/>
          </w:tcPr>
          <w:p w14:paraId="5BBD41AB" w14:textId="77777777" w:rsidR="00C80D10" w:rsidRPr="0013785E" w:rsidRDefault="00C80D10">
            <w:pPr>
              <w:jc w:val="center"/>
              <w:rPr>
                <w:sz w:val="22"/>
                <w:szCs w:val="22"/>
              </w:rPr>
            </w:pPr>
            <w:r w:rsidRPr="0013785E">
              <w:rPr>
                <w:sz w:val="20"/>
                <w:szCs w:val="20"/>
              </w:rPr>
              <w:t>7318 15</w:t>
            </w:r>
          </w:p>
        </w:tc>
        <w:tc>
          <w:tcPr>
            <w:tcW w:w="0" w:type="auto"/>
            <w:tcBorders>
              <w:top w:val="nil"/>
              <w:left w:val="nil"/>
              <w:bottom w:val="single" w:sz="8" w:space="0" w:color="auto"/>
              <w:right w:val="single" w:sz="8" w:space="0" w:color="auto"/>
            </w:tcBorders>
            <w:vAlign w:val="center"/>
            <w:hideMark/>
          </w:tcPr>
          <w:p w14:paraId="068D34DC" w14:textId="77777777" w:rsidR="00C80D10" w:rsidRPr="0013785E" w:rsidRDefault="00C80D10">
            <w:pPr>
              <w:rPr>
                <w:sz w:val="22"/>
                <w:szCs w:val="22"/>
              </w:rPr>
            </w:pPr>
            <w:r w:rsidRPr="0013785E">
              <w:rPr>
                <w:sz w:val="20"/>
                <w:szCs w:val="20"/>
              </w:rPr>
              <w:t>Threaded screws and bolts, of iron or steel (</w:t>
            </w:r>
            <w:proofErr w:type="gramStart"/>
            <w:r w:rsidRPr="0013785E">
              <w:rPr>
                <w:sz w:val="20"/>
                <w:szCs w:val="20"/>
              </w:rPr>
              <w:t>whether or not</w:t>
            </w:r>
            <w:proofErr w:type="gramEnd"/>
            <w:r w:rsidRPr="0013785E">
              <w:rPr>
                <w:sz w:val="20"/>
                <w:szCs w:val="20"/>
              </w:rPr>
              <w:t xml:space="preserve"> with their nuts and washers), excluding certain categories</w:t>
            </w:r>
          </w:p>
        </w:tc>
        <w:tc>
          <w:tcPr>
            <w:tcW w:w="0" w:type="auto"/>
            <w:tcBorders>
              <w:top w:val="nil"/>
              <w:left w:val="nil"/>
              <w:bottom w:val="single" w:sz="8" w:space="0" w:color="auto"/>
              <w:right w:val="single" w:sz="8" w:space="0" w:color="auto"/>
            </w:tcBorders>
            <w:vAlign w:val="center"/>
            <w:hideMark/>
          </w:tcPr>
          <w:p w14:paraId="7231996F" w14:textId="77777777" w:rsidR="00C80D10" w:rsidRPr="0013785E" w:rsidRDefault="00C80D10">
            <w:pPr>
              <w:jc w:val="center"/>
              <w:rPr>
                <w:sz w:val="22"/>
                <w:szCs w:val="22"/>
              </w:rPr>
            </w:pPr>
            <w:r w:rsidRPr="0013785E">
              <w:rPr>
                <w:sz w:val="20"/>
                <w:szCs w:val="20"/>
              </w:rPr>
              <w:t>2.838</w:t>
            </w:r>
          </w:p>
        </w:tc>
      </w:tr>
    </w:tbl>
    <w:p w14:paraId="139EC428" w14:textId="02C16694" w:rsidR="00C80D10" w:rsidRPr="0013785E" w:rsidRDefault="00C80D10">
      <w:r w:rsidRPr="0013785E">
        <w:t>Because CBAM obligations are driven by embedded emissions, higher default values generally result in a higher CBAM certificate obligation (i.e., higher cost) for the same product. In addition, where an applicable CBAM default value is subject to a mark-up</w:t>
      </w:r>
      <w:r w:rsidR="00371BB1" w:rsidRPr="0013785E">
        <w:t>/</w:t>
      </w:r>
      <w:r w:rsidRPr="0013785E">
        <w:t xml:space="preserve">penalty for use of default values, that penalty </w:t>
      </w:r>
      <w:r w:rsidR="0041204F" w:rsidRPr="0013785E">
        <w:t>will increase</w:t>
      </w:r>
      <w:r w:rsidRPr="0013785E">
        <w:t xml:space="preserve"> over time, further increasing costs for companies that rely on defaults instead of verified, installation-specific data.</w:t>
      </w:r>
    </w:p>
    <w:p w14:paraId="2A035CD8" w14:textId="6A2E5C10" w:rsidR="00371BB1" w:rsidRPr="0013785E" w:rsidRDefault="00D617F8">
      <w:pPr>
        <w:rPr>
          <w:sz w:val="24"/>
          <w:szCs w:val="24"/>
          <w:lang w:eastAsia="en-US"/>
        </w:rPr>
      </w:pPr>
      <w:r w:rsidRPr="0013785E">
        <w:t>It is important to note that companies choosing to use their own emissions data should also plan for additional certification costs, as CBAM requires this information to be verified by an independent, qualified third-party entity before it can be used for reporting and, ultimately, for determining CBAM certificate obligations.</w:t>
      </w:r>
    </w:p>
    <w:p w14:paraId="693B7483" w14:textId="372309BC" w:rsidR="00C80D10" w:rsidRPr="0041204F" w:rsidRDefault="00371BB1">
      <w:pPr>
        <w:rPr>
          <w:sz w:val="24"/>
          <w:szCs w:val="24"/>
          <w:lang w:eastAsia="en-US"/>
        </w:rPr>
      </w:pPr>
      <w:r w:rsidRPr="0013785E">
        <w:rPr>
          <w:b/>
          <w:bCs/>
        </w:rPr>
        <w:t>Source</w:t>
      </w:r>
      <w:r w:rsidR="00C80D10" w:rsidRPr="0013785E">
        <w:rPr>
          <w:b/>
          <w:bCs/>
        </w:rPr>
        <w:t>:</w:t>
      </w:r>
      <w:r w:rsidR="00A13C89" w:rsidRPr="0013785E">
        <w:t xml:space="preserve"> to see the current CBAM default values, please see the CBAM Legislation and Guidance website, listed in the resources section at the end of this document</w:t>
      </w:r>
      <w:r w:rsidR="00C80D10" w:rsidRPr="0013785E">
        <w:t>.</w:t>
      </w:r>
      <w:r w:rsidR="00A13C89" w:rsidRPr="0013785E">
        <w:rPr>
          <w:rStyle w:val="FootnoteReference"/>
        </w:rPr>
        <w:footnoteReference w:id="4"/>
      </w:r>
    </w:p>
    <w:p w14:paraId="6A9E6354" w14:textId="3795CC93" w:rsidR="00ED595C" w:rsidRDefault="00ED595C" w:rsidP="001732FF">
      <w:pPr>
        <w:pStyle w:val="Heading1"/>
      </w:pPr>
      <w:bookmarkStart w:id="16" w:name="_Toc227708061"/>
      <w:r>
        <w:t>Examples:</w:t>
      </w:r>
      <w:bookmarkEnd w:id="16"/>
    </w:p>
    <w:p w14:paraId="2139F9AF" w14:textId="3CB3A4F0" w:rsidR="009D488D" w:rsidRPr="0041204F" w:rsidRDefault="00ED595C" w:rsidP="00ED595C">
      <w:r w:rsidRPr="0041204F">
        <w:rPr>
          <w:u w:val="single"/>
        </w:rPr>
        <w:t>Example 1:</w:t>
      </w:r>
      <w:r w:rsidRPr="0041204F">
        <w:t xml:space="preserve"> </w:t>
      </w:r>
      <w:r w:rsidR="009D488D" w:rsidRPr="0041204F">
        <w:t xml:space="preserve">Company A makes carbon </w:t>
      </w:r>
      <w:r w:rsidR="0013785E" w:rsidRPr="0041204F">
        <w:t>steel,</w:t>
      </w:r>
      <w:r w:rsidR="009D488D" w:rsidRPr="0041204F">
        <w:t xml:space="preserve"> and they are based in China. Company A’s manufacturing facility uses natural gas in their production processes. The Raw materials that Company A </w:t>
      </w:r>
      <w:r w:rsidR="0013785E">
        <w:t>b</w:t>
      </w:r>
      <w:r w:rsidR="009D488D" w:rsidRPr="0041204F">
        <w:t>rings in are out of scope for CBAM.</w:t>
      </w:r>
    </w:p>
    <w:bookmarkEnd w:id="6"/>
    <w:p w14:paraId="374777A1" w14:textId="4B79DBAA" w:rsidR="00FD78D9" w:rsidRDefault="00FD78D9" w:rsidP="00ED595C">
      <w:r>
        <w:t xml:space="preserve">Table </w:t>
      </w:r>
      <w:r w:rsidR="0041204F">
        <w:t>2</w:t>
      </w:r>
      <w:r>
        <w:t>: Variables Example 1</w:t>
      </w:r>
    </w:p>
    <w:tbl>
      <w:tblPr>
        <w:tblStyle w:val="TableGrid"/>
        <w:tblW w:w="0" w:type="auto"/>
        <w:tblLook w:val="04A0" w:firstRow="1" w:lastRow="0" w:firstColumn="1" w:lastColumn="0" w:noHBand="0" w:noVBand="1"/>
      </w:tblPr>
      <w:tblGrid>
        <w:gridCol w:w="2715"/>
        <w:gridCol w:w="2005"/>
        <w:gridCol w:w="2427"/>
        <w:gridCol w:w="2203"/>
      </w:tblGrid>
      <w:tr w:rsidR="00FD78D9" w14:paraId="24BC5A81" w14:textId="50FABBA6" w:rsidTr="00FD78D9">
        <w:trPr>
          <w:trHeight w:val="422"/>
        </w:trPr>
        <w:tc>
          <w:tcPr>
            <w:tcW w:w="2715" w:type="dxa"/>
            <w:tcBorders>
              <w:top w:val="single" w:sz="4" w:space="0" w:color="auto"/>
              <w:left w:val="single" w:sz="4" w:space="0" w:color="auto"/>
              <w:bottom w:val="single" w:sz="4" w:space="0" w:color="auto"/>
            </w:tcBorders>
            <w:shd w:val="clear" w:color="auto" w:fill="D9D9D9" w:themeFill="background1" w:themeFillShade="D9"/>
            <w:vAlign w:val="center"/>
          </w:tcPr>
          <w:p w14:paraId="11ECABAF" w14:textId="4D1F9918" w:rsidR="00FD78D9" w:rsidRPr="00FD78D9" w:rsidRDefault="00FD78D9" w:rsidP="00FD78D9">
            <w:pPr>
              <w:jc w:val="center"/>
              <w:rPr>
                <w:b/>
                <w:bCs/>
                <w:sz w:val="20"/>
                <w:szCs w:val="20"/>
              </w:rPr>
            </w:pPr>
            <w:r w:rsidRPr="00FD78D9">
              <w:rPr>
                <w:b/>
                <w:bCs/>
                <w:sz w:val="20"/>
                <w:szCs w:val="20"/>
              </w:rPr>
              <w:t>Data Point</w:t>
            </w:r>
          </w:p>
        </w:tc>
        <w:tc>
          <w:tcPr>
            <w:tcW w:w="2005" w:type="dxa"/>
            <w:tcBorders>
              <w:top w:val="single" w:sz="4" w:space="0" w:color="auto"/>
              <w:bottom w:val="single" w:sz="4" w:space="0" w:color="auto"/>
            </w:tcBorders>
            <w:shd w:val="clear" w:color="auto" w:fill="D9D9D9" w:themeFill="background1" w:themeFillShade="D9"/>
            <w:vAlign w:val="center"/>
          </w:tcPr>
          <w:p w14:paraId="3B0B5104" w14:textId="01CB9EF2" w:rsidR="00FD78D9" w:rsidRPr="00FD78D9" w:rsidRDefault="00FD78D9" w:rsidP="00FD78D9">
            <w:pPr>
              <w:jc w:val="center"/>
              <w:rPr>
                <w:b/>
                <w:bCs/>
                <w:sz w:val="20"/>
                <w:szCs w:val="20"/>
              </w:rPr>
            </w:pPr>
            <w:r w:rsidRPr="00FD78D9">
              <w:rPr>
                <w:b/>
                <w:bCs/>
                <w:sz w:val="20"/>
                <w:szCs w:val="20"/>
              </w:rPr>
              <w:t>Value</w:t>
            </w:r>
          </w:p>
        </w:tc>
        <w:tc>
          <w:tcPr>
            <w:tcW w:w="2427" w:type="dxa"/>
            <w:tcBorders>
              <w:top w:val="single" w:sz="4" w:space="0" w:color="auto"/>
              <w:bottom w:val="single" w:sz="4" w:space="0" w:color="auto"/>
            </w:tcBorders>
            <w:shd w:val="clear" w:color="auto" w:fill="D9D9D9" w:themeFill="background1" w:themeFillShade="D9"/>
            <w:vAlign w:val="center"/>
          </w:tcPr>
          <w:p w14:paraId="3F832201" w14:textId="30A06417" w:rsidR="00FD78D9" w:rsidRPr="00FD78D9" w:rsidRDefault="00FD78D9" w:rsidP="00FD78D9">
            <w:pPr>
              <w:jc w:val="center"/>
              <w:rPr>
                <w:b/>
                <w:bCs/>
                <w:sz w:val="20"/>
                <w:szCs w:val="20"/>
              </w:rPr>
            </w:pPr>
            <w:r w:rsidRPr="00FD78D9">
              <w:rPr>
                <w:b/>
                <w:bCs/>
                <w:sz w:val="20"/>
                <w:szCs w:val="20"/>
              </w:rPr>
              <w:t>Total</w:t>
            </w:r>
          </w:p>
        </w:tc>
        <w:tc>
          <w:tcPr>
            <w:tcW w:w="2203" w:type="dxa"/>
            <w:tcBorders>
              <w:top w:val="single" w:sz="4" w:space="0" w:color="auto"/>
              <w:bottom w:val="single" w:sz="4" w:space="0" w:color="auto"/>
              <w:right w:val="single" w:sz="4" w:space="0" w:color="auto"/>
            </w:tcBorders>
            <w:shd w:val="clear" w:color="auto" w:fill="D9D9D9" w:themeFill="background1" w:themeFillShade="D9"/>
            <w:vAlign w:val="center"/>
          </w:tcPr>
          <w:p w14:paraId="3DFDA0FA" w14:textId="33AC556D" w:rsidR="00FD78D9" w:rsidRPr="00FD78D9" w:rsidRDefault="00FD78D9" w:rsidP="00FD78D9">
            <w:pPr>
              <w:jc w:val="center"/>
              <w:rPr>
                <w:b/>
                <w:bCs/>
                <w:sz w:val="20"/>
                <w:szCs w:val="20"/>
              </w:rPr>
            </w:pPr>
            <w:r w:rsidRPr="00FD78D9">
              <w:rPr>
                <w:b/>
                <w:bCs/>
                <w:sz w:val="20"/>
                <w:szCs w:val="20"/>
              </w:rPr>
              <w:t>Units</w:t>
            </w:r>
          </w:p>
        </w:tc>
      </w:tr>
      <w:tr w:rsidR="00FD78D9" w14:paraId="0A60DF6E" w14:textId="46157036" w:rsidTr="009D488D">
        <w:trPr>
          <w:trHeight w:val="755"/>
        </w:trPr>
        <w:tc>
          <w:tcPr>
            <w:tcW w:w="2715" w:type="dxa"/>
            <w:tcBorders>
              <w:top w:val="single" w:sz="4" w:space="0" w:color="auto"/>
            </w:tcBorders>
            <w:shd w:val="clear" w:color="auto" w:fill="F2F2F2" w:themeFill="background1" w:themeFillShade="F2"/>
            <w:vAlign w:val="center"/>
          </w:tcPr>
          <w:p w14:paraId="68E8CE0B" w14:textId="71DC9CFD" w:rsidR="00FD78D9" w:rsidRPr="00FD78D9" w:rsidRDefault="00FD78D9" w:rsidP="00FD78D9">
            <w:pPr>
              <w:rPr>
                <w:b/>
                <w:bCs/>
                <w:sz w:val="20"/>
                <w:szCs w:val="20"/>
              </w:rPr>
            </w:pPr>
            <w:r w:rsidRPr="00FD78D9">
              <w:rPr>
                <w:b/>
                <w:bCs/>
                <w:sz w:val="20"/>
                <w:szCs w:val="20"/>
              </w:rPr>
              <w:t>Total Production Volume in Tons</w:t>
            </w:r>
          </w:p>
        </w:tc>
        <w:tc>
          <w:tcPr>
            <w:tcW w:w="2005" w:type="dxa"/>
            <w:tcBorders>
              <w:top w:val="single" w:sz="4" w:space="0" w:color="auto"/>
            </w:tcBorders>
            <w:vAlign w:val="center"/>
          </w:tcPr>
          <w:p w14:paraId="13019754" w14:textId="3620838A" w:rsidR="00FD78D9" w:rsidRPr="00FD78D9" w:rsidRDefault="00FD78D9" w:rsidP="00FD78D9">
            <w:pPr>
              <w:jc w:val="center"/>
              <w:rPr>
                <w:sz w:val="20"/>
                <w:szCs w:val="20"/>
              </w:rPr>
            </w:pPr>
            <w:r w:rsidRPr="00FD78D9">
              <w:rPr>
                <w:sz w:val="20"/>
                <w:szCs w:val="20"/>
              </w:rPr>
              <w:t>N/A</w:t>
            </w:r>
          </w:p>
        </w:tc>
        <w:tc>
          <w:tcPr>
            <w:tcW w:w="2427" w:type="dxa"/>
            <w:tcBorders>
              <w:top w:val="single" w:sz="4" w:space="0" w:color="auto"/>
            </w:tcBorders>
            <w:vAlign w:val="center"/>
          </w:tcPr>
          <w:p w14:paraId="46356B44" w14:textId="75CA9D0F" w:rsidR="00FD78D9" w:rsidRPr="00FD78D9" w:rsidRDefault="009D488D" w:rsidP="00FD78D9">
            <w:pPr>
              <w:jc w:val="center"/>
              <w:rPr>
                <w:sz w:val="20"/>
                <w:szCs w:val="20"/>
              </w:rPr>
            </w:pPr>
            <w:r>
              <w:rPr>
                <w:sz w:val="20"/>
                <w:szCs w:val="20"/>
              </w:rPr>
              <w:t>20,000</w:t>
            </w:r>
          </w:p>
        </w:tc>
        <w:tc>
          <w:tcPr>
            <w:tcW w:w="2203" w:type="dxa"/>
            <w:tcBorders>
              <w:top w:val="single" w:sz="4" w:space="0" w:color="auto"/>
            </w:tcBorders>
            <w:vAlign w:val="center"/>
          </w:tcPr>
          <w:p w14:paraId="3F7E95D8" w14:textId="5651A8C6" w:rsidR="00FD78D9" w:rsidRPr="00FD78D9" w:rsidRDefault="00FD78D9" w:rsidP="00FD78D9">
            <w:pPr>
              <w:jc w:val="center"/>
              <w:rPr>
                <w:sz w:val="20"/>
                <w:szCs w:val="20"/>
              </w:rPr>
            </w:pPr>
            <w:r w:rsidRPr="00FD78D9">
              <w:rPr>
                <w:sz w:val="20"/>
                <w:szCs w:val="20"/>
              </w:rPr>
              <w:t>Tons</w:t>
            </w:r>
          </w:p>
        </w:tc>
      </w:tr>
      <w:tr w:rsidR="00FD78D9" w14:paraId="04D917F2" w14:textId="76474B38" w:rsidTr="009D488D">
        <w:tc>
          <w:tcPr>
            <w:tcW w:w="2715" w:type="dxa"/>
            <w:shd w:val="clear" w:color="auto" w:fill="F2F2F2" w:themeFill="background1" w:themeFillShade="F2"/>
            <w:vAlign w:val="center"/>
          </w:tcPr>
          <w:p w14:paraId="41683CA1" w14:textId="67B0DE98" w:rsidR="00FD78D9" w:rsidRPr="00FD78D9" w:rsidRDefault="00FD78D9" w:rsidP="00FD78D9">
            <w:pPr>
              <w:rPr>
                <w:b/>
                <w:bCs/>
                <w:sz w:val="20"/>
                <w:szCs w:val="20"/>
              </w:rPr>
            </w:pPr>
            <w:r w:rsidRPr="00FD78D9">
              <w:rPr>
                <w:b/>
                <w:bCs/>
                <w:sz w:val="20"/>
                <w:szCs w:val="20"/>
              </w:rPr>
              <w:t>Fuel Usage</w:t>
            </w:r>
          </w:p>
        </w:tc>
        <w:tc>
          <w:tcPr>
            <w:tcW w:w="2005" w:type="dxa"/>
            <w:vAlign w:val="center"/>
          </w:tcPr>
          <w:p w14:paraId="75C7D7E2" w14:textId="1EE820AE" w:rsidR="00FD78D9" w:rsidRPr="00FD78D9" w:rsidRDefault="00FD78D9" w:rsidP="00FD78D9">
            <w:pPr>
              <w:jc w:val="center"/>
              <w:rPr>
                <w:sz w:val="20"/>
                <w:szCs w:val="20"/>
              </w:rPr>
            </w:pPr>
            <w:r w:rsidRPr="00FD78D9">
              <w:rPr>
                <w:sz w:val="20"/>
                <w:szCs w:val="20"/>
              </w:rPr>
              <w:t>Natural Gas</w:t>
            </w:r>
          </w:p>
        </w:tc>
        <w:tc>
          <w:tcPr>
            <w:tcW w:w="2427" w:type="dxa"/>
            <w:vAlign w:val="center"/>
          </w:tcPr>
          <w:p w14:paraId="56EAB2C5" w14:textId="44522FF5" w:rsidR="00FD78D9" w:rsidRPr="00FD78D9" w:rsidRDefault="009D488D" w:rsidP="00FD78D9">
            <w:pPr>
              <w:jc w:val="center"/>
              <w:rPr>
                <w:sz w:val="20"/>
                <w:szCs w:val="20"/>
              </w:rPr>
            </w:pPr>
            <w:r>
              <w:rPr>
                <w:sz w:val="20"/>
                <w:szCs w:val="20"/>
              </w:rPr>
              <w:t>15048254</w:t>
            </w:r>
          </w:p>
        </w:tc>
        <w:tc>
          <w:tcPr>
            <w:tcW w:w="2203" w:type="dxa"/>
            <w:vAlign w:val="center"/>
          </w:tcPr>
          <w:p w14:paraId="281D95B0" w14:textId="2006AA5D" w:rsidR="00FD78D9" w:rsidRPr="00FD78D9" w:rsidRDefault="00FD78D9" w:rsidP="009D488D">
            <w:pPr>
              <w:jc w:val="center"/>
              <w:rPr>
                <w:sz w:val="20"/>
                <w:szCs w:val="20"/>
              </w:rPr>
            </w:pPr>
            <w:r w:rsidRPr="00FD78D9">
              <w:rPr>
                <w:sz w:val="20"/>
                <w:szCs w:val="20"/>
              </w:rPr>
              <w:t>Cubic Meters</w:t>
            </w:r>
          </w:p>
        </w:tc>
      </w:tr>
      <w:tr w:rsidR="00FD78D9" w14:paraId="1E5071F8" w14:textId="12043B9C" w:rsidTr="00FD78D9">
        <w:tc>
          <w:tcPr>
            <w:tcW w:w="2715" w:type="dxa"/>
            <w:shd w:val="clear" w:color="auto" w:fill="F2F2F2" w:themeFill="background1" w:themeFillShade="F2"/>
            <w:vAlign w:val="center"/>
          </w:tcPr>
          <w:p w14:paraId="1778535E" w14:textId="61C3B0C6" w:rsidR="00FD78D9" w:rsidRPr="00FD78D9" w:rsidRDefault="00FD78D9" w:rsidP="00FD78D9">
            <w:pPr>
              <w:rPr>
                <w:b/>
                <w:bCs/>
                <w:sz w:val="20"/>
                <w:szCs w:val="20"/>
              </w:rPr>
            </w:pPr>
            <w:r w:rsidRPr="00FD78D9">
              <w:rPr>
                <w:b/>
                <w:bCs/>
                <w:sz w:val="20"/>
                <w:szCs w:val="20"/>
              </w:rPr>
              <w:t xml:space="preserve">Electricity </w:t>
            </w:r>
          </w:p>
        </w:tc>
        <w:tc>
          <w:tcPr>
            <w:tcW w:w="2005" w:type="dxa"/>
            <w:vAlign w:val="center"/>
          </w:tcPr>
          <w:p w14:paraId="5A68B1AB" w14:textId="6BF5D51D" w:rsidR="00FD78D9" w:rsidRPr="00FD78D9" w:rsidRDefault="009D488D" w:rsidP="00FD78D9">
            <w:pPr>
              <w:jc w:val="center"/>
              <w:rPr>
                <w:sz w:val="20"/>
                <w:szCs w:val="20"/>
              </w:rPr>
            </w:pPr>
            <w:r>
              <w:rPr>
                <w:sz w:val="20"/>
                <w:szCs w:val="20"/>
              </w:rPr>
              <w:t>China</w:t>
            </w:r>
          </w:p>
        </w:tc>
        <w:tc>
          <w:tcPr>
            <w:tcW w:w="2427" w:type="dxa"/>
            <w:vAlign w:val="center"/>
          </w:tcPr>
          <w:p w14:paraId="7E22F651" w14:textId="16CE3E8C" w:rsidR="00FD78D9" w:rsidRPr="00FD78D9" w:rsidRDefault="009D488D" w:rsidP="00FD78D9">
            <w:pPr>
              <w:jc w:val="center"/>
              <w:rPr>
                <w:sz w:val="20"/>
                <w:szCs w:val="20"/>
              </w:rPr>
            </w:pPr>
            <w:r>
              <w:rPr>
                <w:sz w:val="20"/>
                <w:szCs w:val="20"/>
              </w:rPr>
              <w:t>6920000</w:t>
            </w:r>
          </w:p>
        </w:tc>
        <w:tc>
          <w:tcPr>
            <w:tcW w:w="2203" w:type="dxa"/>
            <w:vAlign w:val="center"/>
          </w:tcPr>
          <w:p w14:paraId="476F8BC4" w14:textId="331272FB" w:rsidR="00FD78D9" w:rsidRPr="00FD78D9" w:rsidRDefault="00FD78D9" w:rsidP="00FD78D9">
            <w:pPr>
              <w:jc w:val="center"/>
              <w:rPr>
                <w:sz w:val="20"/>
                <w:szCs w:val="20"/>
              </w:rPr>
            </w:pPr>
            <w:r w:rsidRPr="00FD78D9">
              <w:rPr>
                <w:sz w:val="20"/>
                <w:szCs w:val="20"/>
              </w:rPr>
              <w:t>kWh</w:t>
            </w:r>
          </w:p>
        </w:tc>
      </w:tr>
      <w:tr w:rsidR="00FD78D9" w14:paraId="07EB36EB" w14:textId="77777777" w:rsidTr="00FD78D9">
        <w:tc>
          <w:tcPr>
            <w:tcW w:w="2715" w:type="dxa"/>
            <w:shd w:val="clear" w:color="auto" w:fill="F2F2F2" w:themeFill="background1" w:themeFillShade="F2"/>
            <w:vAlign w:val="center"/>
          </w:tcPr>
          <w:p w14:paraId="56C12C2A" w14:textId="054211C9" w:rsidR="00FD78D9" w:rsidRPr="00FD78D9" w:rsidRDefault="00FD78D9" w:rsidP="00FD78D9">
            <w:pPr>
              <w:rPr>
                <w:b/>
                <w:bCs/>
                <w:sz w:val="20"/>
                <w:szCs w:val="20"/>
              </w:rPr>
            </w:pPr>
            <w:r w:rsidRPr="00FD78D9">
              <w:rPr>
                <w:b/>
                <w:bCs/>
                <w:sz w:val="20"/>
                <w:szCs w:val="20"/>
              </w:rPr>
              <w:t>Precursor Material</w:t>
            </w:r>
          </w:p>
        </w:tc>
        <w:tc>
          <w:tcPr>
            <w:tcW w:w="2005" w:type="dxa"/>
            <w:vAlign w:val="center"/>
          </w:tcPr>
          <w:p w14:paraId="4BC83208" w14:textId="62EE0DD4" w:rsidR="00FD78D9" w:rsidRPr="00FD78D9" w:rsidRDefault="009D488D" w:rsidP="00FD78D9">
            <w:pPr>
              <w:jc w:val="center"/>
              <w:rPr>
                <w:sz w:val="20"/>
                <w:szCs w:val="20"/>
              </w:rPr>
            </w:pPr>
            <w:r>
              <w:rPr>
                <w:sz w:val="20"/>
                <w:szCs w:val="20"/>
              </w:rPr>
              <w:t>N/A</w:t>
            </w:r>
          </w:p>
        </w:tc>
        <w:tc>
          <w:tcPr>
            <w:tcW w:w="2427" w:type="dxa"/>
            <w:vAlign w:val="center"/>
          </w:tcPr>
          <w:p w14:paraId="5A343086" w14:textId="46B92EE8" w:rsidR="00FD78D9" w:rsidRPr="00FD78D9" w:rsidRDefault="009D488D" w:rsidP="00FD78D9">
            <w:pPr>
              <w:jc w:val="center"/>
              <w:rPr>
                <w:sz w:val="20"/>
                <w:szCs w:val="20"/>
              </w:rPr>
            </w:pPr>
            <w:r>
              <w:rPr>
                <w:sz w:val="20"/>
                <w:szCs w:val="20"/>
              </w:rPr>
              <w:t>N/A</w:t>
            </w:r>
          </w:p>
        </w:tc>
        <w:tc>
          <w:tcPr>
            <w:tcW w:w="2203" w:type="dxa"/>
            <w:vAlign w:val="center"/>
          </w:tcPr>
          <w:p w14:paraId="1F3679CC" w14:textId="1A805072" w:rsidR="00FD78D9" w:rsidRPr="00FD78D9" w:rsidRDefault="00FD78D9" w:rsidP="00FD78D9">
            <w:pPr>
              <w:jc w:val="center"/>
              <w:rPr>
                <w:sz w:val="20"/>
                <w:szCs w:val="20"/>
              </w:rPr>
            </w:pPr>
            <w:r w:rsidRPr="00FD78D9">
              <w:rPr>
                <w:sz w:val="20"/>
                <w:szCs w:val="20"/>
              </w:rPr>
              <w:t>Tons</w:t>
            </w:r>
          </w:p>
        </w:tc>
      </w:tr>
    </w:tbl>
    <w:p w14:paraId="1745D74B" w14:textId="77777777" w:rsidR="00AE12C8" w:rsidRDefault="00AE12C8" w:rsidP="00ED595C"/>
    <w:p w14:paraId="15F35111" w14:textId="4192D8E2" w:rsidR="00AE12C8" w:rsidRDefault="008F7008" w:rsidP="00612116">
      <w:pPr>
        <w:pStyle w:val="Heading2"/>
      </w:pPr>
      <w:bookmarkStart w:id="17" w:name="_Toc227708062"/>
      <w:r>
        <w:t xml:space="preserve">Example 1 - </w:t>
      </w:r>
      <w:r w:rsidR="00AE12C8">
        <w:t>Input Instructions:</w:t>
      </w:r>
      <w:bookmarkEnd w:id="17"/>
    </w:p>
    <w:p w14:paraId="26032055" w14:textId="77777777" w:rsidR="00AE12C8" w:rsidRDefault="00AE12C8" w:rsidP="00ED595C">
      <w:r>
        <w:t xml:space="preserve">Select the </w:t>
      </w:r>
      <w:r w:rsidRPr="00AE12C8">
        <w:rPr>
          <w:b/>
          <w:bCs/>
        </w:rPr>
        <w:t>Simplest – Per Weight</w:t>
      </w:r>
      <w:r>
        <w:t xml:space="preserve"> on the AEM CBAM Template. Under this tab, data can be placed in the cells highlighted in yellow. All cells highlighted in grey will calculate values based on the information provided in the yellow cells.</w:t>
      </w:r>
    </w:p>
    <w:p w14:paraId="3A38E00A" w14:textId="1C27ED7A" w:rsidR="00E210AA" w:rsidRDefault="00E210AA" w:rsidP="00ED595C">
      <w:r>
        <w:t xml:space="preserve">In this straightforward example, </w:t>
      </w:r>
      <w:proofErr w:type="gramStart"/>
      <w:r>
        <w:t>the direct</w:t>
      </w:r>
      <w:proofErr w:type="gramEnd"/>
      <w:r>
        <w:t xml:space="preserve"> and indirect emissions from the various inputs will calculate based on the default values found in the Precursor, Fuels, and Electricity Tabs. If a company has different emissions or conversion rate values based on data they have on hand, we fully support making the changes to these tabs to ensure the end data is as accurate as possible.</w:t>
      </w:r>
    </w:p>
    <w:p w14:paraId="23B94CF4" w14:textId="7ABEC978" w:rsidR="00E210AA" w:rsidRPr="00E210AA" w:rsidRDefault="008F7008" w:rsidP="00ED595C">
      <w:pPr>
        <w:rPr>
          <w:b/>
          <w:bCs/>
          <w:u w:val="single"/>
        </w:rPr>
      </w:pPr>
      <w:r>
        <w:rPr>
          <w:b/>
          <w:bCs/>
          <w:u w:val="single"/>
        </w:rPr>
        <w:t>Example 1 – CBAM Official Sheet</w:t>
      </w:r>
      <w:r w:rsidR="00E210AA" w:rsidRPr="00E210AA">
        <w:rPr>
          <w:b/>
          <w:bCs/>
          <w:u w:val="single"/>
        </w:rPr>
        <w:t>:</w:t>
      </w:r>
    </w:p>
    <w:p w14:paraId="35D214AB" w14:textId="269611B6" w:rsidR="00AE12C8" w:rsidRDefault="00E210AA" w:rsidP="00ED595C">
      <w:r>
        <w:t xml:space="preserve">The CBAM Official Sheet will calculate the final values the official importer will need regarding CBAM. </w:t>
      </w:r>
      <w:r w:rsidR="00AE12C8">
        <w:t xml:space="preserve"> </w:t>
      </w:r>
      <w:r w:rsidR="009D488D">
        <w:t xml:space="preserve">This sheet will show the total specific emissions based </w:t>
      </w:r>
      <w:proofErr w:type="gramStart"/>
      <w:r w:rsidR="009D488D">
        <w:t>in</w:t>
      </w:r>
      <w:proofErr w:type="gramEnd"/>
      <w:r w:rsidR="009D488D">
        <w:t xml:space="preserve"> tCO</w:t>
      </w:r>
      <w:r w:rsidR="009D488D" w:rsidRPr="009D488D">
        <w:rPr>
          <w:vertAlign w:val="subscript"/>
        </w:rPr>
        <w:t>2</w:t>
      </w:r>
      <w:r w:rsidR="009D488D">
        <w:t xml:space="preserve">e/ton. </w:t>
      </w:r>
    </w:p>
    <w:p w14:paraId="3126F70B" w14:textId="52A334C5" w:rsidR="009D488D" w:rsidRDefault="009D488D" w:rsidP="00ED595C">
      <w:r>
        <w:t>NOTE: The example at the top mentioning carbon steel screws and nuts as well as High allow steel screws and nuts is an example provided by the EU commission.</w:t>
      </w:r>
    </w:p>
    <w:p w14:paraId="1EA887FD" w14:textId="2F48CF47" w:rsidR="00E210AA" w:rsidRDefault="00E210AA" w:rsidP="00ED595C">
      <w:r>
        <w:t xml:space="preserve">Figure 2: </w:t>
      </w:r>
      <w:r w:rsidR="009D488D">
        <w:t>Example 1 Simplest – Per Weight Tab</w:t>
      </w:r>
    </w:p>
    <w:p w14:paraId="0F9CB434" w14:textId="0E542195" w:rsidR="009D488D" w:rsidRDefault="00FF31B4" w:rsidP="00ED595C">
      <w:r w:rsidRPr="00FF31B4">
        <w:rPr>
          <w:noProof/>
        </w:rPr>
        <w:drawing>
          <wp:inline distT="0" distB="0" distL="0" distR="0" wp14:anchorId="4C98F971" wp14:editId="475E1443">
            <wp:extent cx="5943600" cy="2049780"/>
            <wp:effectExtent l="0" t="0" r="0" b="7620"/>
            <wp:docPr id="1062073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73142" name=""/>
                    <pic:cNvPicPr/>
                  </pic:nvPicPr>
                  <pic:blipFill>
                    <a:blip r:embed="rId13"/>
                    <a:stretch>
                      <a:fillRect/>
                    </a:stretch>
                  </pic:blipFill>
                  <pic:spPr>
                    <a:xfrm>
                      <a:off x="0" y="0"/>
                      <a:ext cx="5943600" cy="2049780"/>
                    </a:xfrm>
                    <a:prstGeom prst="rect">
                      <a:avLst/>
                    </a:prstGeom>
                  </pic:spPr>
                </pic:pic>
              </a:graphicData>
            </a:graphic>
          </wp:inline>
        </w:drawing>
      </w:r>
    </w:p>
    <w:p w14:paraId="5CA1B417" w14:textId="24EAE958" w:rsidR="00E210AA" w:rsidRDefault="009D488D" w:rsidP="00ED595C">
      <w:r>
        <w:t xml:space="preserve">Figure </w:t>
      </w:r>
      <w:r w:rsidR="000A4239">
        <w:t>3</w:t>
      </w:r>
      <w:r>
        <w:t xml:space="preserve">: </w:t>
      </w:r>
      <w:r w:rsidR="00B82230">
        <w:t xml:space="preserve">Example 1 - </w:t>
      </w:r>
      <w:r>
        <w:t>The Official CBAM Sheet</w:t>
      </w:r>
    </w:p>
    <w:p w14:paraId="370BCCAA" w14:textId="1FBF1934" w:rsidR="00E210AA" w:rsidRDefault="007B68A7" w:rsidP="00ED595C">
      <w:r w:rsidRPr="007B68A7">
        <w:rPr>
          <w:noProof/>
        </w:rPr>
        <w:drawing>
          <wp:inline distT="0" distB="0" distL="0" distR="0" wp14:anchorId="013693AC" wp14:editId="20BE2115">
            <wp:extent cx="6311900" cy="640631"/>
            <wp:effectExtent l="0" t="0" r="0" b="7620"/>
            <wp:docPr id="1771257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57209" name=""/>
                    <pic:cNvPicPr/>
                  </pic:nvPicPr>
                  <pic:blipFill>
                    <a:blip r:embed="rId14"/>
                    <a:stretch>
                      <a:fillRect/>
                    </a:stretch>
                  </pic:blipFill>
                  <pic:spPr>
                    <a:xfrm>
                      <a:off x="0" y="0"/>
                      <a:ext cx="6346670" cy="644160"/>
                    </a:xfrm>
                    <a:prstGeom prst="rect">
                      <a:avLst/>
                    </a:prstGeom>
                  </pic:spPr>
                </pic:pic>
              </a:graphicData>
            </a:graphic>
          </wp:inline>
        </w:drawing>
      </w:r>
    </w:p>
    <w:p w14:paraId="3ECEA3BD" w14:textId="15C8FCE5" w:rsidR="003D5624" w:rsidRDefault="000A4239" w:rsidP="00ED595C">
      <w:r>
        <w:t xml:space="preserve">Looking at the Official CBAM Sheet in Figure 3, you can see the total Specific Embedded Emissions (SEE) of </w:t>
      </w:r>
      <w:r w:rsidR="003B7098">
        <w:t xml:space="preserve">1.74 tCO2e/t. To determine your CBAM related tax </w:t>
      </w:r>
      <w:r w:rsidR="00612116">
        <w:t>bill,</w:t>
      </w:r>
      <w:r w:rsidR="003B7098">
        <w:t xml:space="preserve"> </w:t>
      </w:r>
      <w:r w:rsidR="003D5624">
        <w:t xml:space="preserve">you </w:t>
      </w:r>
      <w:r w:rsidR="0013785E">
        <w:t>will</w:t>
      </w:r>
      <w:r w:rsidR="003D5624">
        <w:t xml:space="preserve"> use the cost formula</w:t>
      </w:r>
      <w:r w:rsidR="00612116">
        <w:t xml:space="preserve"> listed above.</w:t>
      </w:r>
      <w:r w:rsidR="003D5624">
        <w:t xml:space="preserve"> </w:t>
      </w:r>
    </w:p>
    <w:p w14:paraId="2E1CFCBD" w14:textId="30A12115" w:rsidR="003D5624" w:rsidRDefault="003D5624" w:rsidP="003D5624">
      <w:r w:rsidRPr="003D5624">
        <w:lastRenderedPageBreak/>
        <w:t>CBAM Cost (€)</w:t>
      </w:r>
      <w:r>
        <w:t xml:space="preserve"> </w:t>
      </w:r>
      <w:r w:rsidRPr="003D5624">
        <w:t>=</w:t>
      </w:r>
      <w:r>
        <w:t xml:space="preserve"> </w:t>
      </w:r>
      <w:r w:rsidRPr="003D5624">
        <w:t>(SEE</w:t>
      </w:r>
      <w:r>
        <w:t xml:space="preserve"> </w:t>
      </w:r>
      <w:r w:rsidRPr="003D5624">
        <w:t>×</w:t>
      </w:r>
      <w:r>
        <w:t xml:space="preserve"> </w:t>
      </w:r>
      <w:r w:rsidRPr="003D5624">
        <w:t>Quantity)</w:t>
      </w:r>
      <w:r>
        <w:t xml:space="preserve"> </w:t>
      </w:r>
      <w:r w:rsidRPr="003D5624">
        <w:t>×</w:t>
      </w:r>
      <w:r>
        <w:t xml:space="preserve"> </w:t>
      </w:r>
      <w:r w:rsidRPr="003D5624">
        <w:t>EU ETS Carbon Price</w:t>
      </w:r>
      <w:r w:rsidR="00641C47">
        <w:t xml:space="preserve"> (</w:t>
      </w:r>
      <w:r w:rsidR="00641C47" w:rsidRPr="003D5624">
        <w:t>€</w:t>
      </w:r>
      <w:r w:rsidR="00641C47">
        <w:t>75.36 per ton from the ETS price of carbon for 2026)</w:t>
      </w:r>
    </w:p>
    <w:p w14:paraId="2624BFAF" w14:textId="67BDFE92" w:rsidR="003D5624" w:rsidRPr="003D5624" w:rsidRDefault="00713DA3" w:rsidP="003D5624">
      <w:r>
        <w:t xml:space="preserve">1.74 </w:t>
      </w:r>
      <w:r w:rsidR="00641C47">
        <w:t xml:space="preserve">tCO2e/t </w:t>
      </w:r>
      <w:r>
        <w:t xml:space="preserve">x 20,000 tons </w:t>
      </w:r>
      <w:r w:rsidR="00641C47">
        <w:t>x</w:t>
      </w:r>
      <w:r>
        <w:t xml:space="preserve"> </w:t>
      </w:r>
      <w:r w:rsidR="004235B4" w:rsidRPr="003D5624">
        <w:t>€</w:t>
      </w:r>
      <w:r w:rsidR="00641C47">
        <w:t xml:space="preserve">75.36 = </w:t>
      </w:r>
      <w:r w:rsidR="00D92AF9" w:rsidRPr="003D5624">
        <w:t>€</w:t>
      </w:r>
      <w:r w:rsidR="00D92AF9">
        <w:t>2,622,528</w:t>
      </w:r>
    </w:p>
    <w:p w14:paraId="323432F1" w14:textId="24255273" w:rsidR="00E210AA" w:rsidRDefault="000A4239" w:rsidP="00E210AA">
      <w:r>
        <w:t xml:space="preserve"> </w:t>
      </w:r>
      <w:r w:rsidR="00E210AA" w:rsidRPr="008F7008">
        <w:rPr>
          <w:u w:val="single"/>
        </w:rPr>
        <w:t>Example 2:</w:t>
      </w:r>
      <w:r w:rsidR="00E210AA">
        <w:t xml:space="preserve"> </w:t>
      </w:r>
      <w:r w:rsidR="009D488D">
        <w:t>Company B makes alloy steel</w:t>
      </w:r>
      <w:r w:rsidR="000F7DF5">
        <w:t xml:space="preserve"> and is based in Illinois. This company uses industrial coal in their manufacturing </w:t>
      </w:r>
      <w:r w:rsidR="00B965BB">
        <w:t>process but</w:t>
      </w:r>
      <w:r w:rsidR="000F7DF5">
        <w:t xml:space="preserve"> does not have any precursor raw materials that are in scope of CBAM. The Supplier has data based on the electricity their facility consumes, and has added a custom </w:t>
      </w:r>
      <w:r w:rsidR="00750E65">
        <w:t>indirect emissions factor</w:t>
      </w:r>
      <w:r w:rsidR="000F7DF5">
        <w:t xml:space="preserve"> on the Electricity Tab.</w:t>
      </w:r>
    </w:p>
    <w:p w14:paraId="17931721" w14:textId="00ED4ABF" w:rsidR="00E210AA" w:rsidRDefault="00E210AA" w:rsidP="00E210AA">
      <w:r>
        <w:t xml:space="preserve">Table </w:t>
      </w:r>
      <w:r w:rsidR="000A066E">
        <w:t>3</w:t>
      </w:r>
      <w:r>
        <w:t>: Variables Example 2</w:t>
      </w:r>
    </w:p>
    <w:tbl>
      <w:tblPr>
        <w:tblStyle w:val="TableGrid"/>
        <w:tblW w:w="0" w:type="auto"/>
        <w:tblLook w:val="04A0" w:firstRow="1" w:lastRow="0" w:firstColumn="1" w:lastColumn="0" w:noHBand="0" w:noVBand="1"/>
      </w:tblPr>
      <w:tblGrid>
        <w:gridCol w:w="2715"/>
        <w:gridCol w:w="2005"/>
        <w:gridCol w:w="2427"/>
        <w:gridCol w:w="2203"/>
      </w:tblGrid>
      <w:tr w:rsidR="00E210AA" w14:paraId="160D4C9E" w14:textId="77777777" w:rsidTr="001B7C9C">
        <w:trPr>
          <w:trHeight w:val="422"/>
        </w:trPr>
        <w:tc>
          <w:tcPr>
            <w:tcW w:w="2715" w:type="dxa"/>
            <w:tcBorders>
              <w:top w:val="single" w:sz="4" w:space="0" w:color="auto"/>
              <w:left w:val="single" w:sz="4" w:space="0" w:color="auto"/>
              <w:bottom w:val="single" w:sz="4" w:space="0" w:color="auto"/>
            </w:tcBorders>
            <w:shd w:val="clear" w:color="auto" w:fill="D9D9D9" w:themeFill="background1" w:themeFillShade="D9"/>
            <w:vAlign w:val="center"/>
          </w:tcPr>
          <w:p w14:paraId="00EAFCB9" w14:textId="77777777" w:rsidR="00E210AA" w:rsidRPr="00FD78D9" w:rsidRDefault="00E210AA" w:rsidP="001B7C9C">
            <w:pPr>
              <w:jc w:val="center"/>
              <w:rPr>
                <w:b/>
                <w:bCs/>
                <w:sz w:val="20"/>
                <w:szCs w:val="20"/>
              </w:rPr>
            </w:pPr>
            <w:r w:rsidRPr="00FD78D9">
              <w:rPr>
                <w:b/>
                <w:bCs/>
                <w:sz w:val="20"/>
                <w:szCs w:val="20"/>
              </w:rPr>
              <w:t>Data Point</w:t>
            </w:r>
          </w:p>
        </w:tc>
        <w:tc>
          <w:tcPr>
            <w:tcW w:w="2005" w:type="dxa"/>
            <w:tcBorders>
              <w:top w:val="single" w:sz="4" w:space="0" w:color="auto"/>
              <w:bottom w:val="single" w:sz="4" w:space="0" w:color="auto"/>
            </w:tcBorders>
            <w:shd w:val="clear" w:color="auto" w:fill="D9D9D9" w:themeFill="background1" w:themeFillShade="D9"/>
            <w:vAlign w:val="center"/>
          </w:tcPr>
          <w:p w14:paraId="51EDED5E" w14:textId="77777777" w:rsidR="00E210AA" w:rsidRPr="00FD78D9" w:rsidRDefault="00E210AA" w:rsidP="001B7C9C">
            <w:pPr>
              <w:jc w:val="center"/>
              <w:rPr>
                <w:b/>
                <w:bCs/>
                <w:sz w:val="20"/>
                <w:szCs w:val="20"/>
              </w:rPr>
            </w:pPr>
            <w:r w:rsidRPr="00FD78D9">
              <w:rPr>
                <w:b/>
                <w:bCs/>
                <w:sz w:val="20"/>
                <w:szCs w:val="20"/>
              </w:rPr>
              <w:t>Value</w:t>
            </w:r>
          </w:p>
        </w:tc>
        <w:tc>
          <w:tcPr>
            <w:tcW w:w="2427" w:type="dxa"/>
            <w:tcBorders>
              <w:top w:val="single" w:sz="4" w:space="0" w:color="auto"/>
              <w:bottom w:val="single" w:sz="4" w:space="0" w:color="auto"/>
            </w:tcBorders>
            <w:shd w:val="clear" w:color="auto" w:fill="D9D9D9" w:themeFill="background1" w:themeFillShade="D9"/>
            <w:vAlign w:val="center"/>
          </w:tcPr>
          <w:p w14:paraId="2FB816C7" w14:textId="77777777" w:rsidR="00E210AA" w:rsidRPr="00FD78D9" w:rsidRDefault="00E210AA" w:rsidP="001B7C9C">
            <w:pPr>
              <w:jc w:val="center"/>
              <w:rPr>
                <w:b/>
                <w:bCs/>
                <w:sz w:val="20"/>
                <w:szCs w:val="20"/>
              </w:rPr>
            </w:pPr>
            <w:r w:rsidRPr="00FD78D9">
              <w:rPr>
                <w:b/>
                <w:bCs/>
                <w:sz w:val="20"/>
                <w:szCs w:val="20"/>
              </w:rPr>
              <w:t>Total</w:t>
            </w:r>
          </w:p>
        </w:tc>
        <w:tc>
          <w:tcPr>
            <w:tcW w:w="2203" w:type="dxa"/>
            <w:tcBorders>
              <w:top w:val="single" w:sz="4" w:space="0" w:color="auto"/>
              <w:bottom w:val="single" w:sz="4" w:space="0" w:color="auto"/>
              <w:right w:val="single" w:sz="4" w:space="0" w:color="auto"/>
            </w:tcBorders>
            <w:shd w:val="clear" w:color="auto" w:fill="D9D9D9" w:themeFill="background1" w:themeFillShade="D9"/>
            <w:vAlign w:val="center"/>
          </w:tcPr>
          <w:p w14:paraId="444E9740" w14:textId="77777777" w:rsidR="00E210AA" w:rsidRPr="00FD78D9" w:rsidRDefault="00E210AA" w:rsidP="001B7C9C">
            <w:pPr>
              <w:jc w:val="center"/>
              <w:rPr>
                <w:b/>
                <w:bCs/>
                <w:sz w:val="20"/>
                <w:szCs w:val="20"/>
              </w:rPr>
            </w:pPr>
            <w:r w:rsidRPr="00FD78D9">
              <w:rPr>
                <w:b/>
                <w:bCs/>
                <w:sz w:val="20"/>
                <w:szCs w:val="20"/>
              </w:rPr>
              <w:t>Units</w:t>
            </w:r>
          </w:p>
        </w:tc>
      </w:tr>
      <w:tr w:rsidR="00E210AA" w14:paraId="14FA1EA5" w14:textId="77777777" w:rsidTr="001B7C9C">
        <w:tc>
          <w:tcPr>
            <w:tcW w:w="2715" w:type="dxa"/>
            <w:tcBorders>
              <w:top w:val="single" w:sz="4" w:space="0" w:color="auto"/>
            </w:tcBorders>
            <w:shd w:val="clear" w:color="auto" w:fill="F2F2F2" w:themeFill="background1" w:themeFillShade="F2"/>
            <w:vAlign w:val="center"/>
          </w:tcPr>
          <w:p w14:paraId="1740FF20" w14:textId="77777777" w:rsidR="00E210AA" w:rsidRPr="00FD78D9" w:rsidRDefault="00E210AA" w:rsidP="001B7C9C">
            <w:pPr>
              <w:rPr>
                <w:b/>
                <w:bCs/>
                <w:sz w:val="20"/>
                <w:szCs w:val="20"/>
              </w:rPr>
            </w:pPr>
            <w:r w:rsidRPr="00FD78D9">
              <w:rPr>
                <w:b/>
                <w:bCs/>
                <w:sz w:val="20"/>
                <w:szCs w:val="20"/>
              </w:rPr>
              <w:t>Total Production Volume in Tons</w:t>
            </w:r>
          </w:p>
        </w:tc>
        <w:tc>
          <w:tcPr>
            <w:tcW w:w="2005" w:type="dxa"/>
            <w:tcBorders>
              <w:top w:val="single" w:sz="4" w:space="0" w:color="auto"/>
            </w:tcBorders>
            <w:vAlign w:val="center"/>
          </w:tcPr>
          <w:p w14:paraId="33882B2B" w14:textId="77777777" w:rsidR="00E210AA" w:rsidRPr="00FD78D9" w:rsidRDefault="00E210AA" w:rsidP="001B7C9C">
            <w:pPr>
              <w:jc w:val="center"/>
              <w:rPr>
                <w:sz w:val="20"/>
                <w:szCs w:val="20"/>
              </w:rPr>
            </w:pPr>
            <w:r w:rsidRPr="00FD78D9">
              <w:rPr>
                <w:sz w:val="20"/>
                <w:szCs w:val="20"/>
              </w:rPr>
              <w:t>N/A</w:t>
            </w:r>
          </w:p>
        </w:tc>
        <w:tc>
          <w:tcPr>
            <w:tcW w:w="2427" w:type="dxa"/>
            <w:tcBorders>
              <w:top w:val="single" w:sz="4" w:space="0" w:color="auto"/>
            </w:tcBorders>
            <w:vAlign w:val="center"/>
          </w:tcPr>
          <w:p w14:paraId="09ECE179" w14:textId="38431A49" w:rsidR="00E210AA" w:rsidRPr="00FD78D9" w:rsidRDefault="00E210AA" w:rsidP="001B7C9C">
            <w:pPr>
              <w:jc w:val="center"/>
              <w:rPr>
                <w:sz w:val="20"/>
                <w:szCs w:val="20"/>
              </w:rPr>
            </w:pPr>
            <w:r w:rsidRPr="00FD78D9">
              <w:rPr>
                <w:sz w:val="20"/>
                <w:szCs w:val="20"/>
              </w:rPr>
              <w:t>10</w:t>
            </w:r>
            <w:r w:rsidR="000F7DF5">
              <w:rPr>
                <w:sz w:val="20"/>
                <w:szCs w:val="20"/>
              </w:rPr>
              <w:t>,</w:t>
            </w:r>
            <w:r w:rsidRPr="00FD78D9">
              <w:rPr>
                <w:sz w:val="20"/>
                <w:szCs w:val="20"/>
              </w:rPr>
              <w:t>0</w:t>
            </w:r>
            <w:r w:rsidR="000F7DF5">
              <w:rPr>
                <w:sz w:val="20"/>
                <w:szCs w:val="20"/>
              </w:rPr>
              <w:t>00</w:t>
            </w:r>
          </w:p>
        </w:tc>
        <w:tc>
          <w:tcPr>
            <w:tcW w:w="2203" w:type="dxa"/>
            <w:tcBorders>
              <w:top w:val="single" w:sz="4" w:space="0" w:color="auto"/>
            </w:tcBorders>
            <w:vAlign w:val="center"/>
          </w:tcPr>
          <w:p w14:paraId="5F92920E" w14:textId="77777777" w:rsidR="00E210AA" w:rsidRPr="00FD78D9" w:rsidRDefault="00E210AA" w:rsidP="001B7C9C">
            <w:pPr>
              <w:jc w:val="center"/>
              <w:rPr>
                <w:sz w:val="20"/>
                <w:szCs w:val="20"/>
              </w:rPr>
            </w:pPr>
            <w:r w:rsidRPr="00FD78D9">
              <w:rPr>
                <w:sz w:val="20"/>
                <w:szCs w:val="20"/>
              </w:rPr>
              <w:t>Tons</w:t>
            </w:r>
          </w:p>
        </w:tc>
      </w:tr>
      <w:tr w:rsidR="00E210AA" w14:paraId="735AF0C3" w14:textId="77777777" w:rsidTr="001B7C9C">
        <w:tc>
          <w:tcPr>
            <w:tcW w:w="2715" w:type="dxa"/>
            <w:shd w:val="clear" w:color="auto" w:fill="F2F2F2" w:themeFill="background1" w:themeFillShade="F2"/>
            <w:vAlign w:val="center"/>
          </w:tcPr>
          <w:p w14:paraId="5A766792" w14:textId="77777777" w:rsidR="00E210AA" w:rsidRPr="00FD78D9" w:rsidRDefault="00E210AA" w:rsidP="001B7C9C">
            <w:pPr>
              <w:rPr>
                <w:b/>
                <w:bCs/>
                <w:sz w:val="20"/>
                <w:szCs w:val="20"/>
              </w:rPr>
            </w:pPr>
            <w:r w:rsidRPr="00FD78D9">
              <w:rPr>
                <w:b/>
                <w:bCs/>
                <w:sz w:val="20"/>
                <w:szCs w:val="20"/>
              </w:rPr>
              <w:t>Fuel Usage</w:t>
            </w:r>
          </w:p>
        </w:tc>
        <w:tc>
          <w:tcPr>
            <w:tcW w:w="2005" w:type="dxa"/>
            <w:vAlign w:val="center"/>
          </w:tcPr>
          <w:p w14:paraId="0B703EC2" w14:textId="69B81ED2" w:rsidR="00E210AA" w:rsidRPr="00FD78D9" w:rsidRDefault="000F7DF5" w:rsidP="001B7C9C">
            <w:pPr>
              <w:jc w:val="center"/>
              <w:rPr>
                <w:sz w:val="20"/>
                <w:szCs w:val="20"/>
              </w:rPr>
            </w:pPr>
            <w:r>
              <w:rPr>
                <w:sz w:val="20"/>
                <w:szCs w:val="20"/>
              </w:rPr>
              <w:t>Coal (Industrial</w:t>
            </w:r>
          </w:p>
        </w:tc>
        <w:tc>
          <w:tcPr>
            <w:tcW w:w="2427" w:type="dxa"/>
            <w:vAlign w:val="center"/>
          </w:tcPr>
          <w:p w14:paraId="6C244F79" w14:textId="2C316187" w:rsidR="00E210AA" w:rsidRPr="00FD78D9" w:rsidRDefault="000F7DF5" w:rsidP="001B7C9C">
            <w:pPr>
              <w:jc w:val="center"/>
              <w:rPr>
                <w:sz w:val="20"/>
                <w:szCs w:val="20"/>
              </w:rPr>
            </w:pPr>
            <w:r>
              <w:rPr>
                <w:sz w:val="20"/>
                <w:szCs w:val="20"/>
              </w:rPr>
              <w:t>6001</w:t>
            </w:r>
          </w:p>
        </w:tc>
        <w:tc>
          <w:tcPr>
            <w:tcW w:w="2203" w:type="dxa"/>
            <w:vAlign w:val="center"/>
          </w:tcPr>
          <w:p w14:paraId="3860C464" w14:textId="1A8FEAD0" w:rsidR="00E210AA" w:rsidRPr="00FD78D9" w:rsidRDefault="000F7DF5" w:rsidP="000F7DF5">
            <w:pPr>
              <w:jc w:val="center"/>
              <w:rPr>
                <w:sz w:val="20"/>
                <w:szCs w:val="20"/>
              </w:rPr>
            </w:pPr>
            <w:r>
              <w:rPr>
                <w:sz w:val="20"/>
                <w:szCs w:val="20"/>
              </w:rPr>
              <w:t>Tons</w:t>
            </w:r>
          </w:p>
        </w:tc>
      </w:tr>
      <w:tr w:rsidR="00E210AA" w14:paraId="7FA9C604" w14:textId="77777777" w:rsidTr="001B7C9C">
        <w:tc>
          <w:tcPr>
            <w:tcW w:w="2715" w:type="dxa"/>
            <w:shd w:val="clear" w:color="auto" w:fill="F2F2F2" w:themeFill="background1" w:themeFillShade="F2"/>
            <w:vAlign w:val="center"/>
          </w:tcPr>
          <w:p w14:paraId="02D37123" w14:textId="77777777" w:rsidR="00E210AA" w:rsidRPr="00FD78D9" w:rsidRDefault="00E210AA" w:rsidP="001B7C9C">
            <w:pPr>
              <w:rPr>
                <w:b/>
                <w:bCs/>
                <w:sz w:val="20"/>
                <w:szCs w:val="20"/>
              </w:rPr>
            </w:pPr>
            <w:r w:rsidRPr="00FD78D9">
              <w:rPr>
                <w:b/>
                <w:bCs/>
                <w:sz w:val="20"/>
                <w:szCs w:val="20"/>
              </w:rPr>
              <w:t xml:space="preserve">Electricity </w:t>
            </w:r>
          </w:p>
        </w:tc>
        <w:tc>
          <w:tcPr>
            <w:tcW w:w="2005" w:type="dxa"/>
            <w:vAlign w:val="center"/>
          </w:tcPr>
          <w:p w14:paraId="04A80EC8" w14:textId="09A4B981" w:rsidR="00E210AA" w:rsidRPr="00FD78D9" w:rsidRDefault="000F7DF5" w:rsidP="001B7C9C">
            <w:pPr>
              <w:jc w:val="center"/>
              <w:rPr>
                <w:sz w:val="20"/>
                <w:szCs w:val="20"/>
              </w:rPr>
            </w:pPr>
            <w:r>
              <w:rPr>
                <w:sz w:val="20"/>
                <w:szCs w:val="20"/>
              </w:rPr>
              <w:t>Custom (Illinois)</w:t>
            </w:r>
          </w:p>
        </w:tc>
        <w:tc>
          <w:tcPr>
            <w:tcW w:w="2427" w:type="dxa"/>
            <w:vAlign w:val="center"/>
          </w:tcPr>
          <w:p w14:paraId="3E4BB193" w14:textId="65553048" w:rsidR="00E210AA" w:rsidRPr="00FD78D9" w:rsidRDefault="000F7DF5" w:rsidP="001B7C9C">
            <w:pPr>
              <w:jc w:val="center"/>
              <w:rPr>
                <w:sz w:val="20"/>
                <w:szCs w:val="20"/>
              </w:rPr>
            </w:pPr>
            <w:r>
              <w:rPr>
                <w:sz w:val="20"/>
                <w:szCs w:val="20"/>
              </w:rPr>
              <w:t>20790000</w:t>
            </w:r>
          </w:p>
        </w:tc>
        <w:tc>
          <w:tcPr>
            <w:tcW w:w="2203" w:type="dxa"/>
            <w:vAlign w:val="center"/>
          </w:tcPr>
          <w:p w14:paraId="78E83798" w14:textId="77777777" w:rsidR="00E210AA" w:rsidRPr="00FD78D9" w:rsidRDefault="00E210AA" w:rsidP="001B7C9C">
            <w:pPr>
              <w:jc w:val="center"/>
              <w:rPr>
                <w:sz w:val="20"/>
                <w:szCs w:val="20"/>
              </w:rPr>
            </w:pPr>
            <w:r w:rsidRPr="00FD78D9">
              <w:rPr>
                <w:sz w:val="20"/>
                <w:szCs w:val="20"/>
              </w:rPr>
              <w:t>kWh</w:t>
            </w:r>
          </w:p>
        </w:tc>
      </w:tr>
      <w:tr w:rsidR="00E210AA" w14:paraId="66CDF611" w14:textId="77777777" w:rsidTr="001B7C9C">
        <w:tc>
          <w:tcPr>
            <w:tcW w:w="2715" w:type="dxa"/>
            <w:shd w:val="clear" w:color="auto" w:fill="F2F2F2" w:themeFill="background1" w:themeFillShade="F2"/>
            <w:vAlign w:val="center"/>
          </w:tcPr>
          <w:p w14:paraId="2F1E74C6" w14:textId="77777777" w:rsidR="00E210AA" w:rsidRPr="00FD78D9" w:rsidRDefault="00E210AA" w:rsidP="001B7C9C">
            <w:pPr>
              <w:rPr>
                <w:b/>
                <w:bCs/>
                <w:sz w:val="20"/>
                <w:szCs w:val="20"/>
              </w:rPr>
            </w:pPr>
            <w:r w:rsidRPr="00FD78D9">
              <w:rPr>
                <w:b/>
                <w:bCs/>
                <w:sz w:val="20"/>
                <w:szCs w:val="20"/>
              </w:rPr>
              <w:t>Precursor Material</w:t>
            </w:r>
          </w:p>
        </w:tc>
        <w:tc>
          <w:tcPr>
            <w:tcW w:w="2005" w:type="dxa"/>
            <w:vAlign w:val="center"/>
          </w:tcPr>
          <w:p w14:paraId="3E72AA5E" w14:textId="37E4CFF3" w:rsidR="00E210AA" w:rsidRPr="00FD78D9" w:rsidRDefault="000F7DF5" w:rsidP="001B7C9C">
            <w:pPr>
              <w:jc w:val="center"/>
              <w:rPr>
                <w:sz w:val="20"/>
                <w:szCs w:val="20"/>
              </w:rPr>
            </w:pPr>
            <w:r>
              <w:rPr>
                <w:sz w:val="20"/>
                <w:szCs w:val="20"/>
              </w:rPr>
              <w:t>N/A</w:t>
            </w:r>
          </w:p>
        </w:tc>
        <w:tc>
          <w:tcPr>
            <w:tcW w:w="2427" w:type="dxa"/>
            <w:vAlign w:val="center"/>
          </w:tcPr>
          <w:p w14:paraId="4FFEBB34" w14:textId="5AE801D5" w:rsidR="00E210AA" w:rsidRPr="00FD78D9" w:rsidRDefault="000F7DF5" w:rsidP="001B7C9C">
            <w:pPr>
              <w:jc w:val="center"/>
              <w:rPr>
                <w:sz w:val="20"/>
                <w:szCs w:val="20"/>
              </w:rPr>
            </w:pPr>
            <w:r>
              <w:rPr>
                <w:sz w:val="20"/>
                <w:szCs w:val="20"/>
              </w:rPr>
              <w:t>N/A</w:t>
            </w:r>
          </w:p>
        </w:tc>
        <w:tc>
          <w:tcPr>
            <w:tcW w:w="2203" w:type="dxa"/>
            <w:vAlign w:val="center"/>
          </w:tcPr>
          <w:p w14:paraId="7A6098AC" w14:textId="77777777" w:rsidR="00E210AA" w:rsidRPr="00FD78D9" w:rsidRDefault="00E210AA" w:rsidP="001B7C9C">
            <w:pPr>
              <w:jc w:val="center"/>
              <w:rPr>
                <w:sz w:val="20"/>
                <w:szCs w:val="20"/>
              </w:rPr>
            </w:pPr>
            <w:r w:rsidRPr="00FD78D9">
              <w:rPr>
                <w:sz w:val="20"/>
                <w:szCs w:val="20"/>
              </w:rPr>
              <w:t>Tons</w:t>
            </w:r>
          </w:p>
        </w:tc>
      </w:tr>
    </w:tbl>
    <w:p w14:paraId="6F476577" w14:textId="0665E67C" w:rsidR="00E210AA" w:rsidRDefault="00E210AA" w:rsidP="00ED595C"/>
    <w:p w14:paraId="672AAFB3" w14:textId="05D3A9C5" w:rsidR="000F7DF5" w:rsidRDefault="008F7008" w:rsidP="00612116">
      <w:pPr>
        <w:pStyle w:val="Heading2"/>
      </w:pPr>
      <w:bookmarkStart w:id="18" w:name="_Toc227708063"/>
      <w:r>
        <w:t xml:space="preserve">Example 2 - </w:t>
      </w:r>
      <w:r w:rsidR="000F7DF5">
        <w:t>Input Instructions:</w:t>
      </w:r>
      <w:bookmarkEnd w:id="18"/>
    </w:p>
    <w:p w14:paraId="6BA3524C" w14:textId="77777777" w:rsidR="000F7DF5" w:rsidRDefault="000F7DF5" w:rsidP="000F7DF5">
      <w:r>
        <w:t xml:space="preserve">Select the </w:t>
      </w:r>
      <w:r w:rsidRPr="00AE12C8">
        <w:rPr>
          <w:b/>
          <w:bCs/>
        </w:rPr>
        <w:t>Simplest – Per Weight</w:t>
      </w:r>
      <w:r>
        <w:t xml:space="preserve"> on the AEM CBAM Template. Under this tab, data can be placed in the cells highlighted in yellow. All cells highlighted in grey will calculate values based on the information provided in the yellow cells.</w:t>
      </w:r>
    </w:p>
    <w:p w14:paraId="73991981" w14:textId="78B39A72" w:rsidR="000F7DF5" w:rsidRDefault="000F7DF5" w:rsidP="000F7DF5">
      <w:r>
        <w:t xml:space="preserve">In this straightforward example, the direct and indirect emissions from the various inputs will calculate based on the default values found in the Precursor, </w:t>
      </w:r>
      <w:r w:rsidR="001679B8">
        <w:t xml:space="preserve">and </w:t>
      </w:r>
      <w:r>
        <w:t>Fuels Tabs.</w:t>
      </w:r>
      <w:r w:rsidR="001679B8">
        <w:t xml:space="preserve">  In the Electricity tab, the company will fill in their own custom information for electricity consumed in Illinois (Cells E128 and F128).</w:t>
      </w:r>
      <w:r>
        <w:t xml:space="preserve"> </w:t>
      </w:r>
      <w:r w:rsidR="001679B8">
        <w:t xml:space="preserve">  W</w:t>
      </w:r>
      <w:r>
        <w:t xml:space="preserve">e fully support making </w:t>
      </w:r>
      <w:r w:rsidR="0013785E">
        <w:t>changes</w:t>
      </w:r>
      <w:r>
        <w:t xml:space="preserve"> to these tabs to ensure the end data is as accurate as possible.</w:t>
      </w:r>
    </w:p>
    <w:p w14:paraId="25725437" w14:textId="0D116C4C" w:rsidR="000F7DF5" w:rsidRPr="000F7DF5" w:rsidRDefault="008F7008" w:rsidP="000F7DF5">
      <w:pPr>
        <w:rPr>
          <w:b/>
          <w:bCs/>
          <w:u w:val="single"/>
        </w:rPr>
      </w:pPr>
      <w:r>
        <w:rPr>
          <w:b/>
          <w:bCs/>
          <w:u w:val="single"/>
        </w:rPr>
        <w:t xml:space="preserve">Example 2 - </w:t>
      </w:r>
      <w:r w:rsidR="000F7DF5" w:rsidRPr="000F7DF5">
        <w:rPr>
          <w:b/>
          <w:bCs/>
          <w:u w:val="single"/>
        </w:rPr>
        <w:t>Electricity Tab</w:t>
      </w:r>
    </w:p>
    <w:p w14:paraId="61668B5E" w14:textId="3D8F2C87" w:rsidR="000F7DF5" w:rsidRDefault="000F7DF5" w:rsidP="000F7DF5">
      <w:r>
        <w:t>Since the supplier is not using a default value to represent their electricity consumption, the supplier will need to edit the AEM CBAM Template to accommodate this action. To add a custom location and carbon intensity value, the template user will need to add an additional entry into the list of locations.</w:t>
      </w:r>
    </w:p>
    <w:p w14:paraId="39BD7A8B" w14:textId="23A91C72" w:rsidR="000F7DF5" w:rsidRDefault="000F7DF5" w:rsidP="000F7DF5">
      <w:r>
        <w:t xml:space="preserve">Figure 3: </w:t>
      </w:r>
      <w:r w:rsidR="00B82230">
        <w:t xml:space="preserve">Example 2 - </w:t>
      </w:r>
      <w:r>
        <w:t>Electricity Tab Edits</w:t>
      </w:r>
    </w:p>
    <w:p w14:paraId="1CC05B52" w14:textId="661AD4DF" w:rsidR="000F7DF5" w:rsidRDefault="000A066E" w:rsidP="000F7DF5">
      <w:r w:rsidRPr="000A066E">
        <w:rPr>
          <w:noProof/>
        </w:rPr>
        <w:lastRenderedPageBreak/>
        <w:drawing>
          <wp:inline distT="0" distB="0" distL="0" distR="0" wp14:anchorId="24185BD5" wp14:editId="3E4F9408">
            <wp:extent cx="5943600" cy="1991995"/>
            <wp:effectExtent l="190500" t="190500" r="190500" b="198755"/>
            <wp:docPr id="1251150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50549" name=""/>
                    <pic:cNvPicPr/>
                  </pic:nvPicPr>
                  <pic:blipFill>
                    <a:blip r:embed="rId15"/>
                    <a:stretch>
                      <a:fillRect/>
                    </a:stretch>
                  </pic:blipFill>
                  <pic:spPr>
                    <a:xfrm>
                      <a:off x="0" y="0"/>
                      <a:ext cx="5943600" cy="1991995"/>
                    </a:xfrm>
                    <a:prstGeom prst="rect">
                      <a:avLst/>
                    </a:prstGeom>
                    <a:ln>
                      <a:noFill/>
                    </a:ln>
                    <a:effectLst>
                      <a:outerShdw blurRad="190500" algn="tl" rotWithShape="0">
                        <a:srgbClr val="000000">
                          <a:alpha val="70000"/>
                        </a:srgbClr>
                      </a:outerShdw>
                    </a:effectLst>
                  </pic:spPr>
                </pic:pic>
              </a:graphicData>
            </a:graphic>
          </wp:inline>
        </w:drawing>
      </w:r>
    </w:p>
    <w:p w14:paraId="0C086EF2" w14:textId="14427478" w:rsidR="000F7DF5" w:rsidRDefault="000F7DF5" w:rsidP="000F7DF5">
      <w:r>
        <w:t>As shown in Figure 3, the user has added a new source location – ‘Custom’ along with carbon intensity values expressed in gCO</w:t>
      </w:r>
      <w:r w:rsidRPr="000F7DF5">
        <w:rPr>
          <w:vertAlign w:val="subscript"/>
        </w:rPr>
        <w:t>2</w:t>
      </w:r>
      <w:r>
        <w:t>/kWh and tCO</w:t>
      </w:r>
      <w:r w:rsidRPr="000F7DF5">
        <w:rPr>
          <w:vertAlign w:val="subscript"/>
        </w:rPr>
        <w:t>2</w:t>
      </w:r>
      <w:r>
        <w:t>/MWh.</w:t>
      </w:r>
      <w:r w:rsidR="006F366D">
        <w:t xml:space="preserve"> These carbon intensity tabs will need to be determined by the manufacturer and validated independently.</w:t>
      </w:r>
      <w:r>
        <w:t xml:space="preserve"> After adding in the custom reference to the Electricity Tab, the user will need to use the term ‘Custom’ under the select region on the Electricity Usage section of the Simplest – Per Weight tab</w:t>
      </w:r>
      <w:r w:rsidR="001679B8">
        <w:t xml:space="preserve"> (Cell B45)</w:t>
      </w:r>
      <w:r>
        <w:t xml:space="preserve">. </w:t>
      </w:r>
    </w:p>
    <w:p w14:paraId="4BE335B5" w14:textId="773957E0" w:rsidR="000F7DF5" w:rsidRPr="000F7DF5" w:rsidRDefault="000F7DF5" w:rsidP="000F7DF5">
      <w:r>
        <w:t>NOTE: The user does not have to use the term ‘Custom’. Any text can be chosen, provided the text is unique from others on the list</w:t>
      </w:r>
      <w:r w:rsidR="008F7008">
        <w:t>.</w:t>
      </w:r>
    </w:p>
    <w:p w14:paraId="53745948" w14:textId="20EE3E75" w:rsidR="000F7DF5" w:rsidRPr="00E210AA" w:rsidRDefault="008F7008" w:rsidP="000F7DF5">
      <w:pPr>
        <w:rPr>
          <w:b/>
          <w:bCs/>
          <w:u w:val="single"/>
        </w:rPr>
      </w:pPr>
      <w:r>
        <w:rPr>
          <w:b/>
          <w:bCs/>
          <w:u w:val="single"/>
        </w:rPr>
        <w:t>Example 2 – CBAM Official Sheet</w:t>
      </w:r>
      <w:r w:rsidR="000F7DF5" w:rsidRPr="00E210AA">
        <w:rPr>
          <w:b/>
          <w:bCs/>
          <w:u w:val="single"/>
        </w:rPr>
        <w:t>:</w:t>
      </w:r>
    </w:p>
    <w:p w14:paraId="3191FCE5" w14:textId="77777777" w:rsidR="000F7DF5" w:rsidRDefault="000F7DF5" w:rsidP="000F7DF5">
      <w:r>
        <w:t xml:space="preserve">The CBAM Official Sheet will calculate the final values the official importer will need regarding CBAM.  This sheet will show the total specific emissions based </w:t>
      </w:r>
      <w:proofErr w:type="gramStart"/>
      <w:r>
        <w:t>in</w:t>
      </w:r>
      <w:proofErr w:type="gramEnd"/>
      <w:r>
        <w:t xml:space="preserve"> tCO</w:t>
      </w:r>
      <w:r w:rsidRPr="009D488D">
        <w:rPr>
          <w:vertAlign w:val="subscript"/>
        </w:rPr>
        <w:t>2</w:t>
      </w:r>
      <w:r>
        <w:t xml:space="preserve">e/ton. </w:t>
      </w:r>
    </w:p>
    <w:p w14:paraId="489F9995" w14:textId="77777777" w:rsidR="000F7DF5" w:rsidRDefault="000F7DF5" w:rsidP="000F7DF5">
      <w:r>
        <w:t>NOTE: The example at the top mentioning carbon steel screws and nuts as well as High allow steel screws and nuts is an example provided by the EU commission.</w:t>
      </w:r>
    </w:p>
    <w:p w14:paraId="323B9B20" w14:textId="20E9AC0F" w:rsidR="000F7DF5" w:rsidRDefault="000F7DF5" w:rsidP="000F7DF5">
      <w:r>
        <w:t xml:space="preserve">Figure 4: Example 2 </w:t>
      </w:r>
      <w:r w:rsidR="00B82230">
        <w:t xml:space="preserve">- </w:t>
      </w:r>
      <w:r>
        <w:t>Simplest – Per Weight Tab</w:t>
      </w:r>
    </w:p>
    <w:p w14:paraId="5AAB43C6" w14:textId="6BE0D6B6" w:rsidR="000F7DF5" w:rsidRDefault="00AA009C" w:rsidP="000F7DF5">
      <w:r w:rsidRPr="00AA009C">
        <w:rPr>
          <w:noProof/>
        </w:rPr>
        <w:lastRenderedPageBreak/>
        <w:drawing>
          <wp:inline distT="0" distB="0" distL="0" distR="0" wp14:anchorId="2B99F616" wp14:editId="6A150F12">
            <wp:extent cx="6190225" cy="2068699"/>
            <wp:effectExtent l="171450" t="190500" r="191770" b="198755"/>
            <wp:docPr id="942412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412804" name=""/>
                    <pic:cNvPicPr/>
                  </pic:nvPicPr>
                  <pic:blipFill>
                    <a:blip r:embed="rId16"/>
                    <a:stretch>
                      <a:fillRect/>
                    </a:stretch>
                  </pic:blipFill>
                  <pic:spPr>
                    <a:xfrm>
                      <a:off x="0" y="0"/>
                      <a:ext cx="6197597" cy="2071163"/>
                    </a:xfrm>
                    <a:prstGeom prst="rect">
                      <a:avLst/>
                    </a:prstGeom>
                    <a:ln>
                      <a:noFill/>
                    </a:ln>
                    <a:effectLst>
                      <a:outerShdw blurRad="190500" algn="tl" rotWithShape="0">
                        <a:srgbClr val="000000">
                          <a:alpha val="70000"/>
                        </a:srgbClr>
                      </a:outerShdw>
                    </a:effectLst>
                  </pic:spPr>
                </pic:pic>
              </a:graphicData>
            </a:graphic>
          </wp:inline>
        </w:drawing>
      </w:r>
    </w:p>
    <w:p w14:paraId="3D360E23" w14:textId="5BCE045A" w:rsidR="008F7008" w:rsidRDefault="008F7008" w:rsidP="000F7DF5">
      <w:r>
        <w:t xml:space="preserve">Figure 5: Example 2 </w:t>
      </w:r>
      <w:r w:rsidR="00B82230">
        <w:t xml:space="preserve">- </w:t>
      </w:r>
      <w:r>
        <w:t>CBAM Official Sheet</w:t>
      </w:r>
    </w:p>
    <w:p w14:paraId="3AF89A13" w14:textId="30F060DE" w:rsidR="008F7008" w:rsidRDefault="0078454E" w:rsidP="000F7DF5">
      <w:r w:rsidRPr="0078454E">
        <w:rPr>
          <w:noProof/>
        </w:rPr>
        <w:drawing>
          <wp:inline distT="0" distB="0" distL="0" distR="0" wp14:anchorId="39BE9AD0" wp14:editId="57658C00">
            <wp:extent cx="5943600" cy="886460"/>
            <wp:effectExtent l="190500" t="190500" r="190500" b="199390"/>
            <wp:docPr id="1959376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76590" name=""/>
                    <pic:cNvPicPr/>
                  </pic:nvPicPr>
                  <pic:blipFill>
                    <a:blip r:embed="rId17"/>
                    <a:stretch>
                      <a:fillRect/>
                    </a:stretch>
                  </pic:blipFill>
                  <pic:spPr>
                    <a:xfrm>
                      <a:off x="0" y="0"/>
                      <a:ext cx="5943600" cy="886460"/>
                    </a:xfrm>
                    <a:prstGeom prst="rect">
                      <a:avLst/>
                    </a:prstGeom>
                    <a:ln>
                      <a:noFill/>
                    </a:ln>
                    <a:effectLst>
                      <a:outerShdw blurRad="190500" algn="tl" rotWithShape="0">
                        <a:srgbClr val="000000">
                          <a:alpha val="70000"/>
                        </a:srgbClr>
                      </a:outerShdw>
                    </a:effectLst>
                  </pic:spPr>
                </pic:pic>
              </a:graphicData>
            </a:graphic>
          </wp:inline>
        </w:drawing>
      </w:r>
    </w:p>
    <w:p w14:paraId="1195DB3E" w14:textId="0AFE78C7" w:rsidR="00612116" w:rsidRDefault="00612116" w:rsidP="00612116">
      <w:r>
        <w:t>Looking at the Official CBAM Sheet in Figure 5, you can see the total Specific Embedded Emissions (SEE) of 3.1</w:t>
      </w:r>
      <w:r w:rsidR="00952087">
        <w:t>7</w:t>
      </w:r>
      <w:r>
        <w:t xml:space="preserve"> tCO2e/t. To determine your CBAM related tax bill, you </w:t>
      </w:r>
      <w:proofErr w:type="gramStart"/>
      <w:r>
        <w:t>would</w:t>
      </w:r>
      <w:proofErr w:type="gramEnd"/>
      <w:r>
        <w:t xml:space="preserve"> use the cost formula listed above. </w:t>
      </w:r>
    </w:p>
    <w:p w14:paraId="3D088D26" w14:textId="77777777" w:rsidR="00612116" w:rsidRDefault="00612116" w:rsidP="00612116">
      <w:r w:rsidRPr="003D5624">
        <w:t>CBAM Cost (€)</w:t>
      </w:r>
      <w:r>
        <w:t xml:space="preserve"> </w:t>
      </w:r>
      <w:r w:rsidRPr="003D5624">
        <w:t>=</w:t>
      </w:r>
      <w:r>
        <w:t xml:space="preserve"> </w:t>
      </w:r>
      <w:r w:rsidRPr="003D5624">
        <w:t>(SEE</w:t>
      </w:r>
      <w:r>
        <w:t xml:space="preserve"> </w:t>
      </w:r>
      <w:r w:rsidRPr="003D5624">
        <w:t>×</w:t>
      </w:r>
      <w:r>
        <w:t xml:space="preserve"> </w:t>
      </w:r>
      <w:r w:rsidRPr="003D5624">
        <w:t>Quantity)</w:t>
      </w:r>
      <w:r>
        <w:t xml:space="preserve"> </w:t>
      </w:r>
      <w:r w:rsidRPr="003D5624">
        <w:t>×</w:t>
      </w:r>
      <w:r>
        <w:t xml:space="preserve"> </w:t>
      </w:r>
      <w:r w:rsidRPr="003D5624">
        <w:t>EU ETS Carbon Price</w:t>
      </w:r>
    </w:p>
    <w:p w14:paraId="0C1BCA6B" w14:textId="60F7F759" w:rsidR="00612116" w:rsidRPr="003D5624" w:rsidRDefault="007D6D77" w:rsidP="00612116">
      <w:r>
        <w:t>(</w:t>
      </w:r>
      <w:r w:rsidR="00952087">
        <w:t>3.17</w:t>
      </w:r>
      <w:r w:rsidRPr="007D6D77">
        <w:t xml:space="preserve"> </w:t>
      </w:r>
      <w:r>
        <w:t>tCO2e/t</w:t>
      </w:r>
      <w:r w:rsidR="00612116">
        <w:t xml:space="preserve"> x </w:t>
      </w:r>
      <w:r w:rsidR="00952087">
        <w:t>1</w:t>
      </w:r>
      <w:r w:rsidR="00612116">
        <w:t>0,000 tons</w:t>
      </w:r>
      <w:r>
        <w:t xml:space="preserve">) x </w:t>
      </w:r>
      <w:r w:rsidRPr="003D5624">
        <w:t>€</w:t>
      </w:r>
      <w:r>
        <w:t>75.36</w:t>
      </w:r>
      <w:r w:rsidR="00612116">
        <w:t xml:space="preserve"> = </w:t>
      </w:r>
      <w:r w:rsidR="00612116" w:rsidRPr="003D5624">
        <w:t>€</w:t>
      </w:r>
      <w:r w:rsidR="00641C47">
        <w:t>2,388,912</w:t>
      </w:r>
    </w:p>
    <w:p w14:paraId="27B1B2F2" w14:textId="222888AA" w:rsidR="000F7DF5" w:rsidRDefault="008F7008" w:rsidP="00ED595C">
      <w:r w:rsidRPr="008F7008">
        <w:rPr>
          <w:u w:val="single"/>
        </w:rPr>
        <w:t>Example 3:</w:t>
      </w:r>
      <w:r>
        <w:t xml:space="preserve"> Company S makes Carbon Steel Screws and Allow Steel Screws and </w:t>
      </w:r>
      <w:proofErr w:type="gramStart"/>
      <w:r>
        <w:t>are located in</w:t>
      </w:r>
      <w:proofErr w:type="gramEnd"/>
      <w:r>
        <w:t xml:space="preserve"> Illinois. This company uses natural gas in their manufacturing process and has two precursor raw materials that are in scope of CBAM. The Supplier has data based on the electricity their facility consumes, and has added a custom carbon intensity value on the Electricity Tab.</w:t>
      </w:r>
    </w:p>
    <w:p w14:paraId="2984BF2D" w14:textId="5B9D4D78" w:rsidR="008F7008" w:rsidRDefault="008F7008" w:rsidP="008F7008">
      <w:r>
        <w:t xml:space="preserve">Table </w:t>
      </w:r>
      <w:r w:rsidR="005111FB">
        <w:t>4</w:t>
      </w:r>
      <w:r>
        <w:t>: Variables Example 3</w:t>
      </w:r>
    </w:p>
    <w:tbl>
      <w:tblPr>
        <w:tblStyle w:val="TableGrid"/>
        <w:tblW w:w="0" w:type="auto"/>
        <w:tblLook w:val="04A0" w:firstRow="1" w:lastRow="0" w:firstColumn="1" w:lastColumn="0" w:noHBand="0" w:noVBand="1"/>
      </w:tblPr>
      <w:tblGrid>
        <w:gridCol w:w="2715"/>
        <w:gridCol w:w="2005"/>
        <w:gridCol w:w="2427"/>
        <w:gridCol w:w="2203"/>
      </w:tblGrid>
      <w:tr w:rsidR="008F7008" w14:paraId="33A1D56B" w14:textId="77777777" w:rsidTr="001B7C9C">
        <w:trPr>
          <w:trHeight w:val="422"/>
        </w:trPr>
        <w:tc>
          <w:tcPr>
            <w:tcW w:w="2715" w:type="dxa"/>
            <w:tcBorders>
              <w:top w:val="single" w:sz="4" w:space="0" w:color="auto"/>
              <w:left w:val="single" w:sz="4" w:space="0" w:color="auto"/>
              <w:bottom w:val="single" w:sz="4" w:space="0" w:color="auto"/>
            </w:tcBorders>
            <w:shd w:val="clear" w:color="auto" w:fill="D9D9D9" w:themeFill="background1" w:themeFillShade="D9"/>
            <w:vAlign w:val="center"/>
          </w:tcPr>
          <w:p w14:paraId="64A6EA7A" w14:textId="77777777" w:rsidR="008F7008" w:rsidRPr="00FD78D9" w:rsidRDefault="008F7008" w:rsidP="001B7C9C">
            <w:pPr>
              <w:jc w:val="center"/>
              <w:rPr>
                <w:b/>
                <w:bCs/>
                <w:sz w:val="20"/>
                <w:szCs w:val="20"/>
              </w:rPr>
            </w:pPr>
            <w:r w:rsidRPr="00FD78D9">
              <w:rPr>
                <w:b/>
                <w:bCs/>
                <w:sz w:val="20"/>
                <w:szCs w:val="20"/>
              </w:rPr>
              <w:t>Data Point</w:t>
            </w:r>
          </w:p>
        </w:tc>
        <w:tc>
          <w:tcPr>
            <w:tcW w:w="2005" w:type="dxa"/>
            <w:tcBorders>
              <w:top w:val="single" w:sz="4" w:space="0" w:color="auto"/>
              <w:bottom w:val="single" w:sz="4" w:space="0" w:color="auto"/>
            </w:tcBorders>
            <w:shd w:val="clear" w:color="auto" w:fill="D9D9D9" w:themeFill="background1" w:themeFillShade="D9"/>
            <w:vAlign w:val="center"/>
          </w:tcPr>
          <w:p w14:paraId="727E2EF2" w14:textId="77777777" w:rsidR="008F7008" w:rsidRPr="00FD78D9" w:rsidRDefault="008F7008" w:rsidP="001B7C9C">
            <w:pPr>
              <w:jc w:val="center"/>
              <w:rPr>
                <w:b/>
                <w:bCs/>
                <w:sz w:val="20"/>
                <w:szCs w:val="20"/>
              </w:rPr>
            </w:pPr>
            <w:r w:rsidRPr="00FD78D9">
              <w:rPr>
                <w:b/>
                <w:bCs/>
                <w:sz w:val="20"/>
                <w:szCs w:val="20"/>
              </w:rPr>
              <w:t>Value</w:t>
            </w:r>
          </w:p>
        </w:tc>
        <w:tc>
          <w:tcPr>
            <w:tcW w:w="2427" w:type="dxa"/>
            <w:tcBorders>
              <w:top w:val="single" w:sz="4" w:space="0" w:color="auto"/>
              <w:bottom w:val="single" w:sz="4" w:space="0" w:color="auto"/>
            </w:tcBorders>
            <w:shd w:val="clear" w:color="auto" w:fill="D9D9D9" w:themeFill="background1" w:themeFillShade="D9"/>
            <w:vAlign w:val="center"/>
          </w:tcPr>
          <w:p w14:paraId="6DDBF7F1" w14:textId="77777777" w:rsidR="008F7008" w:rsidRPr="00FD78D9" w:rsidRDefault="008F7008" w:rsidP="001B7C9C">
            <w:pPr>
              <w:jc w:val="center"/>
              <w:rPr>
                <w:b/>
                <w:bCs/>
                <w:sz w:val="20"/>
                <w:szCs w:val="20"/>
              </w:rPr>
            </w:pPr>
            <w:r w:rsidRPr="00FD78D9">
              <w:rPr>
                <w:b/>
                <w:bCs/>
                <w:sz w:val="20"/>
                <w:szCs w:val="20"/>
              </w:rPr>
              <w:t>Total</w:t>
            </w:r>
          </w:p>
        </w:tc>
        <w:tc>
          <w:tcPr>
            <w:tcW w:w="2203" w:type="dxa"/>
            <w:tcBorders>
              <w:top w:val="single" w:sz="4" w:space="0" w:color="auto"/>
              <w:bottom w:val="single" w:sz="4" w:space="0" w:color="auto"/>
              <w:right w:val="single" w:sz="4" w:space="0" w:color="auto"/>
            </w:tcBorders>
            <w:shd w:val="clear" w:color="auto" w:fill="D9D9D9" w:themeFill="background1" w:themeFillShade="D9"/>
            <w:vAlign w:val="center"/>
          </w:tcPr>
          <w:p w14:paraId="2AC3C679" w14:textId="77777777" w:rsidR="008F7008" w:rsidRPr="00FD78D9" w:rsidRDefault="008F7008" w:rsidP="001B7C9C">
            <w:pPr>
              <w:jc w:val="center"/>
              <w:rPr>
                <w:b/>
                <w:bCs/>
                <w:sz w:val="20"/>
                <w:szCs w:val="20"/>
              </w:rPr>
            </w:pPr>
            <w:r w:rsidRPr="00FD78D9">
              <w:rPr>
                <w:b/>
                <w:bCs/>
                <w:sz w:val="20"/>
                <w:szCs w:val="20"/>
              </w:rPr>
              <w:t>Units</w:t>
            </w:r>
          </w:p>
        </w:tc>
      </w:tr>
      <w:tr w:rsidR="008F7008" w14:paraId="59F42050" w14:textId="77777777" w:rsidTr="001B7C9C">
        <w:tc>
          <w:tcPr>
            <w:tcW w:w="2715" w:type="dxa"/>
            <w:tcBorders>
              <w:top w:val="single" w:sz="4" w:space="0" w:color="auto"/>
            </w:tcBorders>
            <w:shd w:val="clear" w:color="auto" w:fill="F2F2F2" w:themeFill="background1" w:themeFillShade="F2"/>
            <w:vAlign w:val="center"/>
          </w:tcPr>
          <w:p w14:paraId="62852BF5" w14:textId="77777777" w:rsidR="008F7008" w:rsidRPr="00FD78D9" w:rsidRDefault="008F7008" w:rsidP="001B7C9C">
            <w:pPr>
              <w:rPr>
                <w:b/>
                <w:bCs/>
                <w:sz w:val="20"/>
                <w:szCs w:val="20"/>
              </w:rPr>
            </w:pPr>
            <w:r w:rsidRPr="00FD78D9">
              <w:rPr>
                <w:b/>
                <w:bCs/>
                <w:sz w:val="20"/>
                <w:szCs w:val="20"/>
              </w:rPr>
              <w:t>Total Production Volume in Tons</w:t>
            </w:r>
          </w:p>
        </w:tc>
        <w:tc>
          <w:tcPr>
            <w:tcW w:w="2005" w:type="dxa"/>
            <w:tcBorders>
              <w:top w:val="single" w:sz="4" w:space="0" w:color="auto"/>
            </w:tcBorders>
            <w:vAlign w:val="center"/>
          </w:tcPr>
          <w:p w14:paraId="29F437C9" w14:textId="77777777" w:rsidR="008F7008" w:rsidRPr="00FD78D9" w:rsidRDefault="008F7008" w:rsidP="001B7C9C">
            <w:pPr>
              <w:jc w:val="center"/>
              <w:rPr>
                <w:sz w:val="20"/>
                <w:szCs w:val="20"/>
              </w:rPr>
            </w:pPr>
            <w:r w:rsidRPr="00FD78D9">
              <w:rPr>
                <w:sz w:val="20"/>
                <w:szCs w:val="20"/>
              </w:rPr>
              <w:t>N/A</w:t>
            </w:r>
          </w:p>
        </w:tc>
        <w:tc>
          <w:tcPr>
            <w:tcW w:w="2427" w:type="dxa"/>
            <w:tcBorders>
              <w:top w:val="single" w:sz="4" w:space="0" w:color="auto"/>
            </w:tcBorders>
            <w:vAlign w:val="center"/>
          </w:tcPr>
          <w:p w14:paraId="190CF56F" w14:textId="73735CF2" w:rsidR="008F7008" w:rsidRPr="00FD78D9" w:rsidRDefault="008F7008" w:rsidP="001B7C9C">
            <w:pPr>
              <w:jc w:val="center"/>
              <w:rPr>
                <w:sz w:val="20"/>
                <w:szCs w:val="20"/>
              </w:rPr>
            </w:pPr>
            <w:r>
              <w:rPr>
                <w:sz w:val="20"/>
                <w:szCs w:val="20"/>
              </w:rPr>
              <w:t>25200</w:t>
            </w:r>
          </w:p>
        </w:tc>
        <w:tc>
          <w:tcPr>
            <w:tcW w:w="2203" w:type="dxa"/>
            <w:tcBorders>
              <w:top w:val="single" w:sz="4" w:space="0" w:color="auto"/>
            </w:tcBorders>
            <w:vAlign w:val="center"/>
          </w:tcPr>
          <w:p w14:paraId="21306DE1" w14:textId="77777777" w:rsidR="008F7008" w:rsidRPr="00FD78D9" w:rsidRDefault="008F7008" w:rsidP="001B7C9C">
            <w:pPr>
              <w:jc w:val="center"/>
              <w:rPr>
                <w:sz w:val="20"/>
                <w:szCs w:val="20"/>
              </w:rPr>
            </w:pPr>
            <w:r w:rsidRPr="00FD78D9">
              <w:rPr>
                <w:sz w:val="20"/>
                <w:szCs w:val="20"/>
              </w:rPr>
              <w:t>Tons</w:t>
            </w:r>
          </w:p>
        </w:tc>
      </w:tr>
      <w:tr w:rsidR="008F7008" w14:paraId="398A41D7" w14:textId="77777777" w:rsidTr="001B7C9C">
        <w:tc>
          <w:tcPr>
            <w:tcW w:w="2715" w:type="dxa"/>
            <w:shd w:val="clear" w:color="auto" w:fill="F2F2F2" w:themeFill="background1" w:themeFillShade="F2"/>
            <w:vAlign w:val="center"/>
          </w:tcPr>
          <w:p w14:paraId="05887329" w14:textId="77777777" w:rsidR="008F7008" w:rsidRPr="00FD78D9" w:rsidRDefault="008F7008" w:rsidP="001B7C9C">
            <w:pPr>
              <w:rPr>
                <w:b/>
                <w:bCs/>
                <w:sz w:val="20"/>
                <w:szCs w:val="20"/>
              </w:rPr>
            </w:pPr>
            <w:r w:rsidRPr="00FD78D9">
              <w:rPr>
                <w:b/>
                <w:bCs/>
                <w:sz w:val="20"/>
                <w:szCs w:val="20"/>
              </w:rPr>
              <w:lastRenderedPageBreak/>
              <w:t>Fuel Usage</w:t>
            </w:r>
          </w:p>
        </w:tc>
        <w:tc>
          <w:tcPr>
            <w:tcW w:w="2005" w:type="dxa"/>
            <w:vAlign w:val="center"/>
          </w:tcPr>
          <w:p w14:paraId="5EB6940E" w14:textId="130354E0" w:rsidR="008F7008" w:rsidRPr="00FD78D9" w:rsidRDefault="008F7008" w:rsidP="001B7C9C">
            <w:pPr>
              <w:jc w:val="center"/>
              <w:rPr>
                <w:sz w:val="20"/>
                <w:szCs w:val="20"/>
              </w:rPr>
            </w:pPr>
            <w:r>
              <w:rPr>
                <w:sz w:val="20"/>
                <w:szCs w:val="20"/>
              </w:rPr>
              <w:t>Natural Gas</w:t>
            </w:r>
          </w:p>
        </w:tc>
        <w:tc>
          <w:tcPr>
            <w:tcW w:w="2427" w:type="dxa"/>
            <w:vAlign w:val="center"/>
          </w:tcPr>
          <w:p w14:paraId="1D5AC4B7" w14:textId="473C2A6D" w:rsidR="008F7008" w:rsidRPr="00FD78D9" w:rsidRDefault="008F7008" w:rsidP="001B7C9C">
            <w:pPr>
              <w:jc w:val="center"/>
              <w:rPr>
                <w:sz w:val="20"/>
                <w:szCs w:val="20"/>
              </w:rPr>
            </w:pPr>
            <w:r>
              <w:rPr>
                <w:sz w:val="20"/>
                <w:szCs w:val="20"/>
              </w:rPr>
              <w:t>1837.5</w:t>
            </w:r>
          </w:p>
        </w:tc>
        <w:tc>
          <w:tcPr>
            <w:tcW w:w="2203" w:type="dxa"/>
            <w:vAlign w:val="center"/>
          </w:tcPr>
          <w:p w14:paraId="3E395BF9" w14:textId="77777777" w:rsidR="008F7008" w:rsidRPr="00FD78D9" w:rsidRDefault="008F7008" w:rsidP="001B7C9C">
            <w:pPr>
              <w:jc w:val="center"/>
              <w:rPr>
                <w:sz w:val="20"/>
                <w:szCs w:val="20"/>
              </w:rPr>
            </w:pPr>
            <w:r>
              <w:rPr>
                <w:sz w:val="20"/>
                <w:szCs w:val="20"/>
              </w:rPr>
              <w:t>Tons</w:t>
            </w:r>
          </w:p>
        </w:tc>
      </w:tr>
      <w:tr w:rsidR="008F7008" w14:paraId="1F989BB3" w14:textId="77777777" w:rsidTr="001B7C9C">
        <w:tc>
          <w:tcPr>
            <w:tcW w:w="2715" w:type="dxa"/>
            <w:shd w:val="clear" w:color="auto" w:fill="F2F2F2" w:themeFill="background1" w:themeFillShade="F2"/>
            <w:vAlign w:val="center"/>
          </w:tcPr>
          <w:p w14:paraId="080C9B8B" w14:textId="77777777" w:rsidR="008F7008" w:rsidRPr="00FD78D9" w:rsidRDefault="008F7008" w:rsidP="001B7C9C">
            <w:pPr>
              <w:rPr>
                <w:b/>
                <w:bCs/>
                <w:sz w:val="20"/>
                <w:szCs w:val="20"/>
              </w:rPr>
            </w:pPr>
            <w:r w:rsidRPr="00FD78D9">
              <w:rPr>
                <w:b/>
                <w:bCs/>
                <w:sz w:val="20"/>
                <w:szCs w:val="20"/>
              </w:rPr>
              <w:t xml:space="preserve">Electricity </w:t>
            </w:r>
          </w:p>
        </w:tc>
        <w:tc>
          <w:tcPr>
            <w:tcW w:w="2005" w:type="dxa"/>
            <w:vAlign w:val="center"/>
          </w:tcPr>
          <w:p w14:paraId="66B7CD14" w14:textId="77777777" w:rsidR="008F7008" w:rsidRPr="00FD78D9" w:rsidRDefault="008F7008" w:rsidP="001B7C9C">
            <w:pPr>
              <w:jc w:val="center"/>
              <w:rPr>
                <w:sz w:val="20"/>
                <w:szCs w:val="20"/>
              </w:rPr>
            </w:pPr>
            <w:r>
              <w:rPr>
                <w:sz w:val="20"/>
                <w:szCs w:val="20"/>
              </w:rPr>
              <w:t>Custom (Illinois)</w:t>
            </w:r>
          </w:p>
        </w:tc>
        <w:tc>
          <w:tcPr>
            <w:tcW w:w="2427" w:type="dxa"/>
            <w:vAlign w:val="center"/>
          </w:tcPr>
          <w:p w14:paraId="34437133" w14:textId="3AD86C37" w:rsidR="008F7008" w:rsidRPr="00FD78D9" w:rsidRDefault="008F7008" w:rsidP="001B7C9C">
            <w:pPr>
              <w:jc w:val="center"/>
              <w:rPr>
                <w:sz w:val="20"/>
                <w:szCs w:val="20"/>
              </w:rPr>
            </w:pPr>
            <w:r>
              <w:rPr>
                <w:sz w:val="20"/>
                <w:szCs w:val="20"/>
              </w:rPr>
              <w:t>5040000</w:t>
            </w:r>
          </w:p>
        </w:tc>
        <w:tc>
          <w:tcPr>
            <w:tcW w:w="2203" w:type="dxa"/>
            <w:vAlign w:val="center"/>
          </w:tcPr>
          <w:p w14:paraId="1A5A91D0" w14:textId="77777777" w:rsidR="008F7008" w:rsidRPr="00FD78D9" w:rsidRDefault="008F7008" w:rsidP="001B7C9C">
            <w:pPr>
              <w:jc w:val="center"/>
              <w:rPr>
                <w:sz w:val="20"/>
                <w:szCs w:val="20"/>
              </w:rPr>
            </w:pPr>
            <w:r w:rsidRPr="00FD78D9">
              <w:rPr>
                <w:sz w:val="20"/>
                <w:szCs w:val="20"/>
              </w:rPr>
              <w:t>kWh</w:t>
            </w:r>
          </w:p>
        </w:tc>
      </w:tr>
      <w:tr w:rsidR="008F7008" w14:paraId="78B87193" w14:textId="77777777" w:rsidTr="001B7C9C">
        <w:tc>
          <w:tcPr>
            <w:tcW w:w="2715" w:type="dxa"/>
            <w:shd w:val="clear" w:color="auto" w:fill="F2F2F2" w:themeFill="background1" w:themeFillShade="F2"/>
            <w:vAlign w:val="center"/>
          </w:tcPr>
          <w:p w14:paraId="3C99F247" w14:textId="77777777" w:rsidR="008F7008" w:rsidRPr="00FD78D9" w:rsidRDefault="008F7008" w:rsidP="001B7C9C">
            <w:pPr>
              <w:rPr>
                <w:b/>
                <w:bCs/>
                <w:sz w:val="20"/>
                <w:szCs w:val="20"/>
              </w:rPr>
            </w:pPr>
            <w:r w:rsidRPr="00FD78D9">
              <w:rPr>
                <w:b/>
                <w:bCs/>
                <w:sz w:val="20"/>
                <w:szCs w:val="20"/>
              </w:rPr>
              <w:t>Precursor Material</w:t>
            </w:r>
          </w:p>
        </w:tc>
        <w:tc>
          <w:tcPr>
            <w:tcW w:w="2005" w:type="dxa"/>
            <w:vAlign w:val="center"/>
          </w:tcPr>
          <w:p w14:paraId="0A858D26" w14:textId="75CF7920" w:rsidR="008F7008" w:rsidRDefault="008F7008" w:rsidP="001B7C9C">
            <w:pPr>
              <w:jc w:val="center"/>
              <w:rPr>
                <w:sz w:val="20"/>
                <w:szCs w:val="20"/>
              </w:rPr>
            </w:pPr>
            <w:r>
              <w:rPr>
                <w:sz w:val="20"/>
                <w:szCs w:val="20"/>
              </w:rPr>
              <w:t>Supplier Provided 1</w:t>
            </w:r>
          </w:p>
          <w:p w14:paraId="78F055DF" w14:textId="35F48C53" w:rsidR="008F7008" w:rsidRPr="00FD78D9" w:rsidRDefault="008F7008" w:rsidP="001B7C9C">
            <w:pPr>
              <w:jc w:val="center"/>
              <w:rPr>
                <w:sz w:val="20"/>
                <w:szCs w:val="20"/>
              </w:rPr>
            </w:pPr>
            <w:r>
              <w:rPr>
                <w:sz w:val="20"/>
                <w:szCs w:val="20"/>
              </w:rPr>
              <w:t>Supplier Provided 2</w:t>
            </w:r>
          </w:p>
        </w:tc>
        <w:tc>
          <w:tcPr>
            <w:tcW w:w="2427" w:type="dxa"/>
            <w:vAlign w:val="center"/>
          </w:tcPr>
          <w:p w14:paraId="02B2E5F8" w14:textId="77777777" w:rsidR="008F7008" w:rsidRDefault="008F7008" w:rsidP="001B7C9C">
            <w:pPr>
              <w:jc w:val="center"/>
              <w:rPr>
                <w:sz w:val="20"/>
                <w:szCs w:val="20"/>
              </w:rPr>
            </w:pPr>
            <w:r>
              <w:rPr>
                <w:sz w:val="20"/>
                <w:szCs w:val="20"/>
              </w:rPr>
              <w:t>20000</w:t>
            </w:r>
          </w:p>
          <w:p w14:paraId="371B422D" w14:textId="3977471B" w:rsidR="008F7008" w:rsidRPr="00FD78D9" w:rsidRDefault="008F7008" w:rsidP="001B7C9C">
            <w:pPr>
              <w:jc w:val="center"/>
              <w:rPr>
                <w:sz w:val="20"/>
                <w:szCs w:val="20"/>
              </w:rPr>
            </w:pPr>
            <w:r>
              <w:rPr>
                <w:sz w:val="20"/>
                <w:szCs w:val="20"/>
              </w:rPr>
              <w:t>10000</w:t>
            </w:r>
          </w:p>
        </w:tc>
        <w:tc>
          <w:tcPr>
            <w:tcW w:w="2203" w:type="dxa"/>
            <w:vAlign w:val="center"/>
          </w:tcPr>
          <w:p w14:paraId="2BC67D0F" w14:textId="77777777" w:rsidR="008F7008" w:rsidRPr="00FD78D9" w:rsidRDefault="008F7008" w:rsidP="001B7C9C">
            <w:pPr>
              <w:jc w:val="center"/>
              <w:rPr>
                <w:sz w:val="20"/>
                <w:szCs w:val="20"/>
              </w:rPr>
            </w:pPr>
            <w:r w:rsidRPr="00FD78D9">
              <w:rPr>
                <w:sz w:val="20"/>
                <w:szCs w:val="20"/>
              </w:rPr>
              <w:t>Tons</w:t>
            </w:r>
          </w:p>
        </w:tc>
      </w:tr>
    </w:tbl>
    <w:p w14:paraId="56EA1F65" w14:textId="77777777" w:rsidR="008F7008" w:rsidRDefault="008F7008" w:rsidP="008F7008"/>
    <w:p w14:paraId="6EC33D6E" w14:textId="3DD71B12" w:rsidR="008F7008" w:rsidRDefault="008F7008" w:rsidP="00612116">
      <w:pPr>
        <w:pStyle w:val="Heading2"/>
      </w:pPr>
      <w:bookmarkStart w:id="19" w:name="_Toc227708064"/>
      <w:r>
        <w:t>Example 3 - Input Instructions:</w:t>
      </w:r>
      <w:bookmarkEnd w:id="19"/>
    </w:p>
    <w:p w14:paraId="531899B3" w14:textId="77777777" w:rsidR="008F7008" w:rsidRDefault="008F7008" w:rsidP="008F7008">
      <w:r>
        <w:t xml:space="preserve">Select the </w:t>
      </w:r>
      <w:r w:rsidRPr="00AE12C8">
        <w:rPr>
          <w:b/>
          <w:bCs/>
        </w:rPr>
        <w:t>Simplest – Per Weight</w:t>
      </w:r>
      <w:r>
        <w:t xml:space="preserve"> on the AEM CBAM Template. Under this tab, data can be placed in the cells highlighted in yellow. All cells highlighted in grey will calculate values based on the information provided in the yellow cells.</w:t>
      </w:r>
    </w:p>
    <w:p w14:paraId="71CD41DD" w14:textId="77777777" w:rsidR="008F7008" w:rsidRDefault="008F7008" w:rsidP="008F7008">
      <w:r>
        <w:t xml:space="preserve">In this straightforward example, </w:t>
      </w:r>
      <w:proofErr w:type="gramStart"/>
      <w:r>
        <w:t>the direct</w:t>
      </w:r>
      <w:proofErr w:type="gramEnd"/>
      <w:r>
        <w:t xml:space="preserve"> and indirect emissions from the various inputs will calculate based on the default values found in the Precursor, Fuels, and Electricity Tabs. If a company has different emissions or conversion rate values based on data they have on hand, we fully support making the changes to these tabs to ensure the end data is as accurate as possible.</w:t>
      </w:r>
    </w:p>
    <w:p w14:paraId="6A64B351" w14:textId="33C34896" w:rsidR="008F7008" w:rsidRPr="000F7DF5" w:rsidRDefault="008F7008" w:rsidP="008F7008">
      <w:pPr>
        <w:rPr>
          <w:b/>
          <w:bCs/>
          <w:u w:val="single"/>
        </w:rPr>
      </w:pPr>
      <w:r>
        <w:rPr>
          <w:b/>
          <w:bCs/>
          <w:u w:val="single"/>
        </w:rPr>
        <w:t xml:space="preserve">Example 3 - </w:t>
      </w:r>
      <w:r w:rsidRPr="000F7DF5">
        <w:rPr>
          <w:b/>
          <w:bCs/>
          <w:u w:val="single"/>
        </w:rPr>
        <w:t>Electricity Tab</w:t>
      </w:r>
    </w:p>
    <w:p w14:paraId="1E3D97F0" w14:textId="2FEF9D2B" w:rsidR="008F7008" w:rsidRDefault="008F7008" w:rsidP="008F7008">
      <w:r>
        <w:t>Since the supplier is not using a default value to represent their electricity consumption, the supplier will need to edit the AEM CBAM Template to accommodate this action. To add a custom location and carbon intensity value, the template user will need to add an additional entry into the list of locations.</w:t>
      </w:r>
    </w:p>
    <w:p w14:paraId="3BFA85AA" w14:textId="29B769EA" w:rsidR="008F7008" w:rsidRDefault="008F7008" w:rsidP="008F7008">
      <w:r>
        <w:t xml:space="preserve">Figure 6: </w:t>
      </w:r>
      <w:r w:rsidR="00B82230">
        <w:t xml:space="preserve">Example 3 - </w:t>
      </w:r>
      <w:r>
        <w:t>Electricity Tab Edits</w:t>
      </w:r>
    </w:p>
    <w:p w14:paraId="14E69C6F" w14:textId="5500A69B" w:rsidR="008F7008" w:rsidRDefault="00C029DF" w:rsidP="008F7008">
      <w:r w:rsidRPr="000A066E">
        <w:rPr>
          <w:noProof/>
        </w:rPr>
        <w:drawing>
          <wp:inline distT="0" distB="0" distL="0" distR="0" wp14:anchorId="1504606D" wp14:editId="02DFEB2A">
            <wp:extent cx="5943600" cy="1991995"/>
            <wp:effectExtent l="190500" t="190500" r="190500" b="198755"/>
            <wp:docPr id="1901722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50549" name=""/>
                    <pic:cNvPicPr/>
                  </pic:nvPicPr>
                  <pic:blipFill>
                    <a:blip r:embed="rId15"/>
                    <a:stretch>
                      <a:fillRect/>
                    </a:stretch>
                  </pic:blipFill>
                  <pic:spPr>
                    <a:xfrm>
                      <a:off x="0" y="0"/>
                      <a:ext cx="5943600" cy="1991995"/>
                    </a:xfrm>
                    <a:prstGeom prst="rect">
                      <a:avLst/>
                    </a:prstGeom>
                    <a:ln>
                      <a:noFill/>
                    </a:ln>
                    <a:effectLst>
                      <a:outerShdw blurRad="190500" algn="tl" rotWithShape="0">
                        <a:srgbClr val="000000">
                          <a:alpha val="70000"/>
                        </a:srgbClr>
                      </a:outerShdw>
                    </a:effectLst>
                  </pic:spPr>
                </pic:pic>
              </a:graphicData>
            </a:graphic>
          </wp:inline>
        </w:drawing>
      </w:r>
    </w:p>
    <w:p w14:paraId="6E0C0159" w14:textId="77777777" w:rsidR="008F7008" w:rsidRDefault="008F7008" w:rsidP="008F7008">
      <w:r>
        <w:lastRenderedPageBreak/>
        <w:t>As shown in Figure 3, the user has added a new source location – ‘Custom’ along with carbon intensity values expressed in gCO</w:t>
      </w:r>
      <w:r w:rsidRPr="000F7DF5">
        <w:rPr>
          <w:vertAlign w:val="subscript"/>
        </w:rPr>
        <w:t>2</w:t>
      </w:r>
      <w:r>
        <w:t>/kWh and tCO</w:t>
      </w:r>
      <w:r w:rsidRPr="000F7DF5">
        <w:rPr>
          <w:vertAlign w:val="subscript"/>
        </w:rPr>
        <w:t>2</w:t>
      </w:r>
      <w:r>
        <w:t xml:space="preserve">/MWh. After adding in the custom reference to the Electricity Tab, the user will need to use the term ‘Custom’ under the select region on the Electricity Usage section of the Simplest – Per Weight tab. </w:t>
      </w:r>
    </w:p>
    <w:p w14:paraId="5D9CA7EB" w14:textId="77777777" w:rsidR="008F7008" w:rsidRDefault="008F7008" w:rsidP="008F7008">
      <w:r>
        <w:t>NOTE: The user does not have to use the term ‘Custom’. Any text can be chosen, provided the text is unique from others on the list.</w:t>
      </w:r>
    </w:p>
    <w:p w14:paraId="5A694F5F" w14:textId="1E60C2B9" w:rsidR="008F7008" w:rsidRDefault="008F7008" w:rsidP="008F7008">
      <w:pPr>
        <w:rPr>
          <w:b/>
          <w:bCs/>
          <w:u w:val="single"/>
        </w:rPr>
      </w:pPr>
      <w:r>
        <w:rPr>
          <w:b/>
          <w:bCs/>
          <w:u w:val="single"/>
        </w:rPr>
        <w:t>Example 3 – Precursor Materials Tab</w:t>
      </w:r>
    </w:p>
    <w:p w14:paraId="7F9D9E6A" w14:textId="1BF9E29A" w:rsidR="008F7008" w:rsidRDefault="008F7008" w:rsidP="008F7008">
      <w:r>
        <w:t xml:space="preserve">In this example, the supplier is using </w:t>
      </w:r>
      <w:r w:rsidR="007928CF">
        <w:t>precursor materials</w:t>
      </w:r>
      <w:r w:rsidR="009421B1">
        <w:t xml:space="preserve"> that </w:t>
      </w:r>
      <w:r w:rsidR="007928CF">
        <w:t>are</w:t>
      </w:r>
      <w:r w:rsidR="009421B1">
        <w:t xml:space="preserve"> not listed under the spreadsheets provided default list. To accurately list these materials under the Simplest – Per Weight tab, the user will need to add the precursor materials they are attempting to account for, as well as the direct and indirect emissions of those materials.</w:t>
      </w:r>
    </w:p>
    <w:p w14:paraId="0AA654D5" w14:textId="5FC29B71" w:rsidR="00E01626" w:rsidRDefault="00E01626" w:rsidP="008F7008">
      <w:r>
        <w:t xml:space="preserve">NOTE: When using custom materials, the user will need to add in their own </w:t>
      </w:r>
      <w:r w:rsidR="00CC423E">
        <w:t xml:space="preserve">direct </w:t>
      </w:r>
      <w:r>
        <w:t>emission</w:t>
      </w:r>
      <w:r w:rsidR="00CC423E">
        <w:t xml:space="preserve"> factors. When using preexisting </w:t>
      </w:r>
      <w:r w:rsidR="00A01F72">
        <w:t>precursor materials and locations, the form will automatically fill in data</w:t>
      </w:r>
    </w:p>
    <w:p w14:paraId="627EC850" w14:textId="163CE783" w:rsidR="009421B1" w:rsidRDefault="009421B1" w:rsidP="008F7008">
      <w:r>
        <w:t xml:space="preserve">Figure 7: Example 3 </w:t>
      </w:r>
      <w:r w:rsidR="00B82230">
        <w:t xml:space="preserve">- </w:t>
      </w:r>
      <w:r>
        <w:t>Precursor Material Tab</w:t>
      </w:r>
    </w:p>
    <w:p w14:paraId="654E478D" w14:textId="53A4DC5A" w:rsidR="009421B1" w:rsidRDefault="00394467" w:rsidP="008F7008">
      <w:r w:rsidRPr="00394467">
        <w:rPr>
          <w:noProof/>
        </w:rPr>
        <w:drawing>
          <wp:inline distT="0" distB="0" distL="0" distR="0" wp14:anchorId="76A63B90" wp14:editId="07FD92A8">
            <wp:extent cx="5943600" cy="1445895"/>
            <wp:effectExtent l="190500" t="190500" r="190500" b="192405"/>
            <wp:docPr id="36256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60109" name=""/>
                    <pic:cNvPicPr/>
                  </pic:nvPicPr>
                  <pic:blipFill>
                    <a:blip r:embed="rId18"/>
                    <a:stretch>
                      <a:fillRect/>
                    </a:stretch>
                  </pic:blipFill>
                  <pic:spPr>
                    <a:xfrm>
                      <a:off x="0" y="0"/>
                      <a:ext cx="5943600" cy="1445895"/>
                    </a:xfrm>
                    <a:prstGeom prst="rect">
                      <a:avLst/>
                    </a:prstGeom>
                    <a:ln>
                      <a:noFill/>
                    </a:ln>
                    <a:effectLst>
                      <a:outerShdw blurRad="190500" algn="tl" rotWithShape="0">
                        <a:srgbClr val="000000">
                          <a:alpha val="70000"/>
                        </a:srgbClr>
                      </a:outerShdw>
                    </a:effectLst>
                  </pic:spPr>
                </pic:pic>
              </a:graphicData>
            </a:graphic>
          </wp:inline>
        </w:drawing>
      </w:r>
    </w:p>
    <w:p w14:paraId="2B29F36A" w14:textId="20446160" w:rsidR="009421B1" w:rsidRDefault="009421B1" w:rsidP="008F7008">
      <w:r>
        <w:t>As shown in Figure 7, the user provided two different precursor materials, listed as ‘Supplier Provided 1’ and ‘Supplier Provided 2’ along with the Direct and indirect emissions for each material</w:t>
      </w:r>
      <w:r w:rsidR="00017A4B">
        <w:t xml:space="preserve"> (Cells C3-D4)</w:t>
      </w:r>
      <w:r>
        <w:t>. After adding these materials, the user will need to select ‘Supplier Provided 1’ and ‘Supplier Provided 2’ under the Precursor Material Usage section on the Simplest – Per Weight tab</w:t>
      </w:r>
      <w:r w:rsidR="00017A4B">
        <w:t xml:space="preserve"> (Cells B49 and B50)</w:t>
      </w:r>
      <w:r>
        <w:t xml:space="preserve">. </w:t>
      </w:r>
    </w:p>
    <w:p w14:paraId="1944AD95" w14:textId="391DDE55" w:rsidR="009421B1" w:rsidRPr="008F7008" w:rsidRDefault="009421B1" w:rsidP="008F7008">
      <w:r>
        <w:t>NOTE: The user does not have to use the term ‘Supplier Provided 1’. Any text can be chosen, provided the text is unique from others on the list.</w:t>
      </w:r>
    </w:p>
    <w:p w14:paraId="5DE2D47C" w14:textId="6816F1C3" w:rsidR="008F7008" w:rsidRPr="00E210AA" w:rsidRDefault="008F7008" w:rsidP="008F7008">
      <w:pPr>
        <w:rPr>
          <w:b/>
          <w:bCs/>
          <w:u w:val="single"/>
        </w:rPr>
      </w:pPr>
      <w:r>
        <w:rPr>
          <w:b/>
          <w:bCs/>
          <w:u w:val="single"/>
        </w:rPr>
        <w:t>Example 3 – CBAM Official Sheet</w:t>
      </w:r>
      <w:r w:rsidRPr="00E210AA">
        <w:rPr>
          <w:b/>
          <w:bCs/>
          <w:u w:val="single"/>
        </w:rPr>
        <w:t>:</w:t>
      </w:r>
    </w:p>
    <w:p w14:paraId="61FE8B63" w14:textId="77777777" w:rsidR="008F7008" w:rsidRDefault="008F7008" w:rsidP="008F7008">
      <w:r>
        <w:t xml:space="preserve">The CBAM Official Sheet will calculate the final values the official importer will need regarding CBAM.  This sheet will show the total specific emissions based </w:t>
      </w:r>
      <w:proofErr w:type="gramStart"/>
      <w:r>
        <w:t>in</w:t>
      </w:r>
      <w:proofErr w:type="gramEnd"/>
      <w:r>
        <w:t xml:space="preserve"> tCO</w:t>
      </w:r>
      <w:r w:rsidRPr="009D488D">
        <w:rPr>
          <w:vertAlign w:val="subscript"/>
        </w:rPr>
        <w:t>2</w:t>
      </w:r>
      <w:r>
        <w:t xml:space="preserve">e/ton. </w:t>
      </w:r>
    </w:p>
    <w:p w14:paraId="6F7B9448" w14:textId="074A238B" w:rsidR="008F7008" w:rsidRDefault="008F7008" w:rsidP="008F7008">
      <w:r>
        <w:lastRenderedPageBreak/>
        <w:t xml:space="preserve">Figure </w:t>
      </w:r>
      <w:r w:rsidR="009421B1">
        <w:t>8</w:t>
      </w:r>
      <w:r>
        <w:t xml:space="preserve">: Example 3 </w:t>
      </w:r>
      <w:r w:rsidR="00B82230">
        <w:t xml:space="preserve">- </w:t>
      </w:r>
      <w:r>
        <w:t xml:space="preserve">Simplest – Per Weight </w:t>
      </w:r>
    </w:p>
    <w:p w14:paraId="2FB6291B" w14:textId="14BEAC72" w:rsidR="008F7008" w:rsidRDefault="00C340BD" w:rsidP="008F7008">
      <w:r w:rsidRPr="00C340BD">
        <w:rPr>
          <w:noProof/>
        </w:rPr>
        <w:drawing>
          <wp:inline distT="0" distB="0" distL="0" distR="0" wp14:anchorId="3EDC5A61" wp14:editId="34B0D90C">
            <wp:extent cx="5943600" cy="1983740"/>
            <wp:effectExtent l="171450" t="190500" r="190500" b="187960"/>
            <wp:docPr id="622213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13822" name=""/>
                    <pic:cNvPicPr/>
                  </pic:nvPicPr>
                  <pic:blipFill>
                    <a:blip r:embed="rId19"/>
                    <a:stretch>
                      <a:fillRect/>
                    </a:stretch>
                  </pic:blipFill>
                  <pic:spPr>
                    <a:xfrm>
                      <a:off x="0" y="0"/>
                      <a:ext cx="5943600" cy="1983740"/>
                    </a:xfrm>
                    <a:prstGeom prst="rect">
                      <a:avLst/>
                    </a:prstGeom>
                    <a:ln>
                      <a:noFill/>
                    </a:ln>
                    <a:effectLst>
                      <a:outerShdw blurRad="190500" algn="tl" rotWithShape="0">
                        <a:srgbClr val="000000">
                          <a:alpha val="70000"/>
                        </a:srgbClr>
                      </a:outerShdw>
                    </a:effectLst>
                  </pic:spPr>
                </pic:pic>
              </a:graphicData>
            </a:graphic>
          </wp:inline>
        </w:drawing>
      </w:r>
    </w:p>
    <w:p w14:paraId="0A2E0820" w14:textId="5CB7D7A2" w:rsidR="008F7008" w:rsidRDefault="008F7008" w:rsidP="008F7008">
      <w:r>
        <w:t xml:space="preserve">Figure </w:t>
      </w:r>
      <w:r w:rsidR="009421B1">
        <w:t>9</w:t>
      </w:r>
      <w:r>
        <w:t>: Exam</w:t>
      </w:r>
      <w:r w:rsidR="00B92A9B">
        <w:t>ple 3 - CBAM Official Sheet</w:t>
      </w:r>
      <w:r w:rsidR="00B92A9B" w:rsidRPr="00B92A9B">
        <w:t xml:space="preserve"> </w:t>
      </w:r>
      <w:r w:rsidR="00B92A9B" w:rsidRPr="00B92A9B">
        <w:rPr>
          <w:noProof/>
        </w:rPr>
        <w:drawing>
          <wp:inline distT="0" distB="0" distL="0" distR="0" wp14:anchorId="276AF35D" wp14:editId="6702B621">
            <wp:extent cx="6149799" cy="1079500"/>
            <wp:effectExtent l="190500" t="190500" r="194310" b="196850"/>
            <wp:docPr id="1931524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24395" name=""/>
                    <pic:cNvPicPr/>
                  </pic:nvPicPr>
                  <pic:blipFill>
                    <a:blip r:embed="rId20"/>
                    <a:stretch>
                      <a:fillRect/>
                    </a:stretch>
                  </pic:blipFill>
                  <pic:spPr>
                    <a:xfrm>
                      <a:off x="0" y="0"/>
                      <a:ext cx="6156455" cy="1080668"/>
                    </a:xfrm>
                    <a:prstGeom prst="rect">
                      <a:avLst/>
                    </a:prstGeom>
                    <a:ln>
                      <a:noFill/>
                    </a:ln>
                    <a:effectLst>
                      <a:outerShdw blurRad="190500" algn="tl" rotWithShape="0">
                        <a:srgbClr val="000000">
                          <a:alpha val="70000"/>
                        </a:srgbClr>
                      </a:outerShdw>
                    </a:effectLst>
                  </pic:spPr>
                </pic:pic>
              </a:graphicData>
            </a:graphic>
          </wp:inline>
        </w:drawing>
      </w:r>
    </w:p>
    <w:p w14:paraId="251E62A7" w14:textId="2B71E1E1" w:rsidR="00952087" w:rsidRDefault="00952087" w:rsidP="00952087">
      <w:r>
        <w:t xml:space="preserve">Looking at the Official CBAM Sheet in Figure 9, you can see the total Specific Embedded Emissions (SEE) of 3.854 tCO2e/t. To determine your CBAM related tax bill, you </w:t>
      </w:r>
      <w:r w:rsidR="00E17DED">
        <w:t>will</w:t>
      </w:r>
      <w:r>
        <w:t xml:space="preserve"> use the cost formula listed above. </w:t>
      </w:r>
    </w:p>
    <w:p w14:paraId="19BB56B2" w14:textId="77777777" w:rsidR="00952087" w:rsidRDefault="00952087" w:rsidP="00952087">
      <w:r w:rsidRPr="003D5624">
        <w:t>CBAM Cost (€)</w:t>
      </w:r>
      <w:r>
        <w:t xml:space="preserve"> </w:t>
      </w:r>
      <w:r w:rsidRPr="003D5624">
        <w:t>=</w:t>
      </w:r>
      <w:r>
        <w:t xml:space="preserve"> </w:t>
      </w:r>
      <w:r w:rsidRPr="003D5624">
        <w:t>(SEE</w:t>
      </w:r>
      <w:r>
        <w:t xml:space="preserve"> </w:t>
      </w:r>
      <w:r w:rsidRPr="003D5624">
        <w:t>×</w:t>
      </w:r>
      <w:r>
        <w:t xml:space="preserve"> </w:t>
      </w:r>
      <w:r w:rsidRPr="003D5624">
        <w:t>Quantity)</w:t>
      </w:r>
      <w:r>
        <w:t xml:space="preserve"> </w:t>
      </w:r>
      <w:r w:rsidRPr="003D5624">
        <w:t>×</w:t>
      </w:r>
      <w:r>
        <w:t xml:space="preserve"> </w:t>
      </w:r>
      <w:r w:rsidRPr="003D5624">
        <w:t>EU ETS Carbon Price</w:t>
      </w:r>
    </w:p>
    <w:p w14:paraId="42F99CB7" w14:textId="222BB24D" w:rsidR="00952087" w:rsidRPr="003D5624" w:rsidRDefault="003B670D" w:rsidP="00952087">
      <w:r>
        <w:t>(</w:t>
      </w:r>
      <w:r w:rsidR="00D06AE6">
        <w:t>3.85</w:t>
      </w:r>
      <w:r w:rsidR="00952087">
        <w:t xml:space="preserve"> x 2</w:t>
      </w:r>
      <w:r w:rsidR="00D06AE6">
        <w:t>5</w:t>
      </w:r>
      <w:r w:rsidR="00952087">
        <w:t>,</w:t>
      </w:r>
      <w:r w:rsidR="00D06AE6">
        <w:t>2</w:t>
      </w:r>
      <w:r w:rsidR="00952087">
        <w:t>00 tons</w:t>
      </w:r>
      <w:r>
        <w:t xml:space="preserve">) x </w:t>
      </w:r>
      <w:r w:rsidR="00952087" w:rsidRPr="003D5624">
        <w:t>€</w:t>
      </w:r>
      <w:r>
        <w:t xml:space="preserve">75.36 = </w:t>
      </w:r>
      <w:r w:rsidR="007D6D77" w:rsidRPr="003D5624">
        <w:t>€</w:t>
      </w:r>
      <w:r w:rsidR="007D6D77">
        <w:t>7,311,427</w:t>
      </w:r>
    </w:p>
    <w:p w14:paraId="7339D6A0" w14:textId="4A951C30" w:rsidR="00D16DD6" w:rsidRDefault="005B31E0" w:rsidP="001732FF">
      <w:pPr>
        <w:pStyle w:val="Heading1"/>
      </w:pPr>
      <w:bookmarkStart w:id="20" w:name="_Toc227708065"/>
      <w:r>
        <w:t>Default Versus Measured Emissions:</w:t>
      </w:r>
      <w:bookmarkEnd w:id="20"/>
    </w:p>
    <w:p w14:paraId="738587C9" w14:textId="0AC1DD0E" w:rsidR="00E90972" w:rsidRDefault="00E90972" w:rsidP="00E90972">
      <w:r>
        <w:t xml:space="preserve">In practice, companies face a tradeoff between using </w:t>
      </w:r>
      <w:r w:rsidRPr="00E90972">
        <w:t>EU CBAM default values and</w:t>
      </w:r>
      <w:r>
        <w:t xml:space="preserve"> using </w:t>
      </w:r>
      <w:r w:rsidRPr="00452C79">
        <w:t>measured or calculated emissions data.</w:t>
      </w:r>
      <w:r>
        <w:t xml:space="preserve"> Default values can reduce the near-term data collection burden and may be useful as an initial screening approach, but they are often conservative (higher) and can increase a company’s reported embedded emissions and resulting CBAM costs, especially as penalties for relying on default values increase over time. Using company-specific emissions data can more accurately reflect actual production performance and may reduce CBAM costs, but it requires stronger internal data management (e.g., fuel, electricity, and precursor inputs) and adds time and expense for independent third-party verification before the data can be used for reporting.</w:t>
      </w:r>
    </w:p>
    <w:p w14:paraId="2B38CF3A" w14:textId="103DC4EF" w:rsidR="00452C79" w:rsidRDefault="00D2392D" w:rsidP="00E90972">
      <w:r>
        <w:lastRenderedPageBreak/>
        <w:t>Example 1 – Using Default Values over time</w:t>
      </w:r>
    </w:p>
    <w:p w14:paraId="5DC9B0A1" w14:textId="07E5D01B" w:rsidR="00C01D4A" w:rsidRDefault="00C01D4A" w:rsidP="00C01D4A">
      <w:pPr>
        <w:rPr>
          <w:lang w:eastAsia="en-US"/>
        </w:rPr>
      </w:pPr>
      <w:r>
        <w:t xml:space="preserve">Companies that rely on CBAM default values as a long-term approach should anticipate </w:t>
      </w:r>
      <w:r w:rsidRPr="00C01D4A">
        <w:t xml:space="preserve">increasing </w:t>
      </w:r>
      <w:r>
        <w:t xml:space="preserve">compliance </w:t>
      </w:r>
      <w:r w:rsidRPr="00C01D4A">
        <w:t>cost</w:t>
      </w:r>
      <w:r>
        <w:t>s</w:t>
      </w:r>
      <w:r w:rsidRPr="00C01D4A">
        <w:t xml:space="preserve"> over time</w:t>
      </w:r>
      <w:r>
        <w:t>. Default values are typically conservative and</w:t>
      </w:r>
      <w:r w:rsidR="00E26F3F">
        <w:t xml:space="preserve"> include a </w:t>
      </w:r>
      <w:r>
        <w:t>penalty</w:t>
      </w:r>
      <w:r w:rsidR="00B75248">
        <w:t xml:space="preserve"> that</w:t>
      </w:r>
      <w:r>
        <w:t xml:space="preserve"> </w:t>
      </w:r>
      <w:r w:rsidR="00B75248">
        <w:t>i</w:t>
      </w:r>
      <w:r>
        <w:t>ncrease</w:t>
      </w:r>
      <w:r w:rsidR="00B75248">
        <w:t>s</w:t>
      </w:r>
      <w:r>
        <w:t xml:space="preserve"> over time</w:t>
      </w:r>
      <w:r w:rsidR="00B75248">
        <w:t xml:space="preserve">, </w:t>
      </w:r>
      <w:r>
        <w:t>meaning the same imported product can trigger a higher CBAM certificate obligation in later years even if underlying production processes have not changed.</w:t>
      </w:r>
    </w:p>
    <w:p w14:paraId="2D6FC001" w14:textId="6C9DE3C7" w:rsidR="00D2392D" w:rsidRDefault="00663870" w:rsidP="00E90972">
      <w:pPr>
        <w:rPr>
          <w:lang w:eastAsia="en-US"/>
        </w:rPr>
      </w:pPr>
      <w:r>
        <w:rPr>
          <w:lang w:eastAsia="en-US"/>
        </w:rPr>
        <w:t xml:space="preserve">Table 5 </w:t>
      </w:r>
      <w:r w:rsidR="007811E0">
        <w:rPr>
          <w:lang w:eastAsia="en-US"/>
        </w:rPr>
        <w:t>–</w:t>
      </w:r>
      <w:r>
        <w:rPr>
          <w:lang w:eastAsia="en-US"/>
        </w:rPr>
        <w:t xml:space="preserve"> </w:t>
      </w:r>
      <w:r w:rsidR="007811E0">
        <w:rPr>
          <w:lang w:eastAsia="en-US"/>
        </w:rPr>
        <w:t>Default values over time</w:t>
      </w:r>
    </w:p>
    <w:tbl>
      <w:tblPr>
        <w:tblStyle w:val="TableGrid"/>
        <w:tblW w:w="0" w:type="auto"/>
        <w:tblLook w:val="04A0" w:firstRow="1" w:lastRow="0" w:firstColumn="1" w:lastColumn="0" w:noHBand="0" w:noVBand="1"/>
      </w:tblPr>
      <w:tblGrid>
        <w:gridCol w:w="2715"/>
        <w:gridCol w:w="2005"/>
        <w:gridCol w:w="2427"/>
        <w:gridCol w:w="2203"/>
      </w:tblGrid>
      <w:tr w:rsidR="00870F84" w14:paraId="3BC81AE2" w14:textId="77777777" w:rsidTr="00E41024">
        <w:trPr>
          <w:trHeight w:val="422"/>
        </w:trPr>
        <w:tc>
          <w:tcPr>
            <w:tcW w:w="2715" w:type="dxa"/>
            <w:tcBorders>
              <w:top w:val="single" w:sz="4" w:space="0" w:color="auto"/>
              <w:left w:val="single" w:sz="4" w:space="0" w:color="auto"/>
              <w:bottom w:val="single" w:sz="4" w:space="0" w:color="auto"/>
            </w:tcBorders>
            <w:shd w:val="clear" w:color="auto" w:fill="D9D9D9" w:themeFill="background1" w:themeFillShade="D9"/>
            <w:vAlign w:val="center"/>
          </w:tcPr>
          <w:p w14:paraId="523BAB04" w14:textId="77777777" w:rsidR="00870F84" w:rsidRPr="00FD78D9" w:rsidRDefault="00870F84" w:rsidP="00E41024">
            <w:pPr>
              <w:jc w:val="center"/>
              <w:rPr>
                <w:b/>
                <w:bCs/>
                <w:sz w:val="20"/>
                <w:szCs w:val="20"/>
              </w:rPr>
            </w:pPr>
            <w:r w:rsidRPr="00FD78D9">
              <w:rPr>
                <w:b/>
                <w:bCs/>
                <w:sz w:val="20"/>
                <w:szCs w:val="20"/>
              </w:rPr>
              <w:t>Data Point</w:t>
            </w:r>
          </w:p>
        </w:tc>
        <w:tc>
          <w:tcPr>
            <w:tcW w:w="2005" w:type="dxa"/>
            <w:tcBorders>
              <w:top w:val="single" w:sz="4" w:space="0" w:color="auto"/>
              <w:bottom w:val="single" w:sz="4" w:space="0" w:color="auto"/>
            </w:tcBorders>
            <w:shd w:val="clear" w:color="auto" w:fill="D9D9D9" w:themeFill="background1" w:themeFillShade="D9"/>
            <w:vAlign w:val="center"/>
          </w:tcPr>
          <w:p w14:paraId="561CA865" w14:textId="77777777" w:rsidR="00870F84" w:rsidRPr="00FD78D9" w:rsidRDefault="00870F84" w:rsidP="00E41024">
            <w:pPr>
              <w:jc w:val="center"/>
              <w:rPr>
                <w:b/>
                <w:bCs/>
                <w:sz w:val="20"/>
                <w:szCs w:val="20"/>
              </w:rPr>
            </w:pPr>
            <w:r w:rsidRPr="00FD78D9">
              <w:rPr>
                <w:b/>
                <w:bCs/>
                <w:sz w:val="20"/>
                <w:szCs w:val="20"/>
              </w:rPr>
              <w:t>Value</w:t>
            </w:r>
          </w:p>
        </w:tc>
        <w:tc>
          <w:tcPr>
            <w:tcW w:w="2427" w:type="dxa"/>
            <w:tcBorders>
              <w:top w:val="single" w:sz="4" w:space="0" w:color="auto"/>
              <w:bottom w:val="single" w:sz="4" w:space="0" w:color="auto"/>
            </w:tcBorders>
            <w:shd w:val="clear" w:color="auto" w:fill="D9D9D9" w:themeFill="background1" w:themeFillShade="D9"/>
            <w:vAlign w:val="center"/>
          </w:tcPr>
          <w:p w14:paraId="247512C5" w14:textId="77777777" w:rsidR="00870F84" w:rsidRPr="00FD78D9" w:rsidRDefault="00870F84" w:rsidP="00E41024">
            <w:pPr>
              <w:jc w:val="center"/>
              <w:rPr>
                <w:b/>
                <w:bCs/>
                <w:sz w:val="20"/>
                <w:szCs w:val="20"/>
              </w:rPr>
            </w:pPr>
            <w:r w:rsidRPr="00FD78D9">
              <w:rPr>
                <w:b/>
                <w:bCs/>
                <w:sz w:val="20"/>
                <w:szCs w:val="20"/>
              </w:rPr>
              <w:t>Total</w:t>
            </w:r>
          </w:p>
        </w:tc>
        <w:tc>
          <w:tcPr>
            <w:tcW w:w="2203" w:type="dxa"/>
            <w:tcBorders>
              <w:top w:val="single" w:sz="4" w:space="0" w:color="auto"/>
              <w:bottom w:val="single" w:sz="4" w:space="0" w:color="auto"/>
              <w:right w:val="single" w:sz="4" w:space="0" w:color="auto"/>
            </w:tcBorders>
            <w:shd w:val="clear" w:color="auto" w:fill="D9D9D9" w:themeFill="background1" w:themeFillShade="D9"/>
            <w:vAlign w:val="center"/>
          </w:tcPr>
          <w:p w14:paraId="3A5DCE82" w14:textId="77777777" w:rsidR="00870F84" w:rsidRPr="00FD78D9" w:rsidRDefault="00870F84" w:rsidP="00E41024">
            <w:pPr>
              <w:jc w:val="center"/>
              <w:rPr>
                <w:b/>
                <w:bCs/>
                <w:sz w:val="20"/>
                <w:szCs w:val="20"/>
              </w:rPr>
            </w:pPr>
            <w:r w:rsidRPr="00FD78D9">
              <w:rPr>
                <w:b/>
                <w:bCs/>
                <w:sz w:val="20"/>
                <w:szCs w:val="20"/>
              </w:rPr>
              <w:t>Units</w:t>
            </w:r>
          </w:p>
        </w:tc>
      </w:tr>
      <w:tr w:rsidR="00870F84" w14:paraId="3591DBF4" w14:textId="77777777" w:rsidTr="00E41024">
        <w:tc>
          <w:tcPr>
            <w:tcW w:w="2715" w:type="dxa"/>
            <w:tcBorders>
              <w:top w:val="single" w:sz="4" w:space="0" w:color="auto"/>
            </w:tcBorders>
            <w:shd w:val="clear" w:color="auto" w:fill="F2F2F2" w:themeFill="background1" w:themeFillShade="F2"/>
            <w:vAlign w:val="center"/>
          </w:tcPr>
          <w:p w14:paraId="06BC18C9" w14:textId="77777777" w:rsidR="00870F84" w:rsidRPr="00FD78D9" w:rsidRDefault="00870F84" w:rsidP="00E41024">
            <w:pPr>
              <w:rPr>
                <w:b/>
                <w:bCs/>
                <w:sz w:val="20"/>
                <w:szCs w:val="20"/>
              </w:rPr>
            </w:pPr>
            <w:r w:rsidRPr="00FD78D9">
              <w:rPr>
                <w:b/>
                <w:bCs/>
                <w:sz w:val="20"/>
                <w:szCs w:val="20"/>
              </w:rPr>
              <w:t>Total Production Volume in Tons</w:t>
            </w:r>
          </w:p>
        </w:tc>
        <w:tc>
          <w:tcPr>
            <w:tcW w:w="2005" w:type="dxa"/>
            <w:tcBorders>
              <w:top w:val="single" w:sz="4" w:space="0" w:color="auto"/>
            </w:tcBorders>
            <w:vAlign w:val="center"/>
          </w:tcPr>
          <w:p w14:paraId="790F91D6" w14:textId="19E1EA9B" w:rsidR="00870F84" w:rsidRPr="00FD78D9" w:rsidRDefault="00663870" w:rsidP="00E41024">
            <w:pPr>
              <w:jc w:val="center"/>
              <w:rPr>
                <w:sz w:val="20"/>
                <w:szCs w:val="20"/>
              </w:rPr>
            </w:pPr>
            <w:r>
              <w:rPr>
                <w:sz w:val="20"/>
                <w:szCs w:val="20"/>
              </w:rPr>
              <w:t>N/A</w:t>
            </w:r>
          </w:p>
        </w:tc>
        <w:tc>
          <w:tcPr>
            <w:tcW w:w="2427" w:type="dxa"/>
            <w:tcBorders>
              <w:top w:val="single" w:sz="4" w:space="0" w:color="auto"/>
            </w:tcBorders>
            <w:vAlign w:val="center"/>
          </w:tcPr>
          <w:p w14:paraId="655AAF22" w14:textId="1E127154" w:rsidR="00870F84" w:rsidRPr="00FD78D9" w:rsidRDefault="00663870" w:rsidP="00E41024">
            <w:pPr>
              <w:jc w:val="center"/>
              <w:rPr>
                <w:sz w:val="20"/>
                <w:szCs w:val="20"/>
              </w:rPr>
            </w:pPr>
            <w:r>
              <w:rPr>
                <w:sz w:val="20"/>
                <w:szCs w:val="20"/>
              </w:rPr>
              <w:t>100000</w:t>
            </w:r>
          </w:p>
        </w:tc>
        <w:tc>
          <w:tcPr>
            <w:tcW w:w="2203" w:type="dxa"/>
            <w:tcBorders>
              <w:top w:val="single" w:sz="4" w:space="0" w:color="auto"/>
            </w:tcBorders>
            <w:vAlign w:val="center"/>
          </w:tcPr>
          <w:p w14:paraId="62FD96DF" w14:textId="77777777" w:rsidR="00870F84" w:rsidRPr="00FD78D9" w:rsidRDefault="00870F84" w:rsidP="00E41024">
            <w:pPr>
              <w:jc w:val="center"/>
              <w:rPr>
                <w:sz w:val="20"/>
                <w:szCs w:val="20"/>
              </w:rPr>
            </w:pPr>
            <w:r w:rsidRPr="00FD78D9">
              <w:rPr>
                <w:sz w:val="20"/>
                <w:szCs w:val="20"/>
              </w:rPr>
              <w:t>Tons</w:t>
            </w:r>
          </w:p>
        </w:tc>
      </w:tr>
      <w:tr w:rsidR="00870F84" w14:paraId="0865DE5B" w14:textId="77777777" w:rsidTr="00E41024">
        <w:tc>
          <w:tcPr>
            <w:tcW w:w="2715" w:type="dxa"/>
            <w:shd w:val="clear" w:color="auto" w:fill="F2F2F2" w:themeFill="background1" w:themeFillShade="F2"/>
            <w:vAlign w:val="center"/>
          </w:tcPr>
          <w:p w14:paraId="37AFEB8B" w14:textId="77777777" w:rsidR="00870F84" w:rsidRPr="00FD78D9" w:rsidRDefault="00870F84" w:rsidP="00E41024">
            <w:pPr>
              <w:rPr>
                <w:b/>
                <w:bCs/>
                <w:sz w:val="20"/>
                <w:szCs w:val="20"/>
              </w:rPr>
            </w:pPr>
            <w:r w:rsidRPr="00FD78D9">
              <w:rPr>
                <w:b/>
                <w:bCs/>
                <w:sz w:val="20"/>
                <w:szCs w:val="20"/>
              </w:rPr>
              <w:t>Fuel Usage</w:t>
            </w:r>
          </w:p>
        </w:tc>
        <w:tc>
          <w:tcPr>
            <w:tcW w:w="2005" w:type="dxa"/>
            <w:vAlign w:val="center"/>
          </w:tcPr>
          <w:p w14:paraId="72EC0D68" w14:textId="77777777" w:rsidR="00870F84" w:rsidRPr="00FD78D9" w:rsidRDefault="00870F84" w:rsidP="00E41024">
            <w:pPr>
              <w:jc w:val="center"/>
              <w:rPr>
                <w:sz w:val="20"/>
                <w:szCs w:val="20"/>
              </w:rPr>
            </w:pPr>
            <w:r>
              <w:rPr>
                <w:sz w:val="20"/>
                <w:szCs w:val="20"/>
              </w:rPr>
              <w:t>Natural Gas</w:t>
            </w:r>
          </w:p>
        </w:tc>
        <w:tc>
          <w:tcPr>
            <w:tcW w:w="2427" w:type="dxa"/>
            <w:vAlign w:val="center"/>
          </w:tcPr>
          <w:p w14:paraId="64CB4DC8" w14:textId="6AC81E7C" w:rsidR="00870F84" w:rsidRPr="00FD78D9" w:rsidRDefault="00663870" w:rsidP="00E41024">
            <w:pPr>
              <w:jc w:val="center"/>
              <w:rPr>
                <w:sz w:val="20"/>
                <w:szCs w:val="20"/>
              </w:rPr>
            </w:pPr>
            <w:r>
              <w:rPr>
                <w:sz w:val="20"/>
                <w:szCs w:val="20"/>
              </w:rPr>
              <w:t>2000</w:t>
            </w:r>
          </w:p>
        </w:tc>
        <w:tc>
          <w:tcPr>
            <w:tcW w:w="2203" w:type="dxa"/>
            <w:vAlign w:val="center"/>
          </w:tcPr>
          <w:p w14:paraId="6673ED5C" w14:textId="77777777" w:rsidR="00870F84" w:rsidRPr="00FD78D9" w:rsidRDefault="00870F84" w:rsidP="00E41024">
            <w:pPr>
              <w:jc w:val="center"/>
              <w:rPr>
                <w:sz w:val="20"/>
                <w:szCs w:val="20"/>
              </w:rPr>
            </w:pPr>
            <w:r>
              <w:rPr>
                <w:sz w:val="20"/>
                <w:szCs w:val="20"/>
              </w:rPr>
              <w:t>Tons</w:t>
            </w:r>
          </w:p>
        </w:tc>
      </w:tr>
      <w:tr w:rsidR="00870F84" w14:paraId="00175D77" w14:textId="77777777" w:rsidTr="00E41024">
        <w:tc>
          <w:tcPr>
            <w:tcW w:w="2715" w:type="dxa"/>
            <w:shd w:val="clear" w:color="auto" w:fill="F2F2F2" w:themeFill="background1" w:themeFillShade="F2"/>
            <w:vAlign w:val="center"/>
          </w:tcPr>
          <w:p w14:paraId="47100D2B" w14:textId="77777777" w:rsidR="00870F84" w:rsidRPr="00FD78D9" w:rsidRDefault="00870F84" w:rsidP="00E41024">
            <w:pPr>
              <w:rPr>
                <w:b/>
                <w:bCs/>
                <w:sz w:val="20"/>
                <w:szCs w:val="20"/>
              </w:rPr>
            </w:pPr>
            <w:r w:rsidRPr="00FD78D9">
              <w:rPr>
                <w:b/>
                <w:bCs/>
                <w:sz w:val="20"/>
                <w:szCs w:val="20"/>
              </w:rPr>
              <w:t xml:space="preserve">Electricity </w:t>
            </w:r>
          </w:p>
        </w:tc>
        <w:tc>
          <w:tcPr>
            <w:tcW w:w="2005" w:type="dxa"/>
            <w:vAlign w:val="center"/>
          </w:tcPr>
          <w:p w14:paraId="4DD608BB" w14:textId="42D9C8BB" w:rsidR="00870F84" w:rsidRPr="00FD78D9" w:rsidRDefault="00663870" w:rsidP="00E41024">
            <w:pPr>
              <w:jc w:val="center"/>
              <w:rPr>
                <w:sz w:val="20"/>
                <w:szCs w:val="20"/>
              </w:rPr>
            </w:pPr>
            <w:r>
              <w:rPr>
                <w:sz w:val="20"/>
                <w:szCs w:val="20"/>
              </w:rPr>
              <w:t>United States</w:t>
            </w:r>
          </w:p>
        </w:tc>
        <w:tc>
          <w:tcPr>
            <w:tcW w:w="2427" w:type="dxa"/>
            <w:vAlign w:val="center"/>
          </w:tcPr>
          <w:p w14:paraId="2719CD2B" w14:textId="16FCBC28" w:rsidR="00870F84" w:rsidRPr="00FD78D9" w:rsidRDefault="00663870" w:rsidP="00E41024">
            <w:pPr>
              <w:jc w:val="center"/>
              <w:rPr>
                <w:sz w:val="20"/>
                <w:szCs w:val="20"/>
              </w:rPr>
            </w:pPr>
            <w:r>
              <w:rPr>
                <w:sz w:val="20"/>
                <w:szCs w:val="20"/>
              </w:rPr>
              <w:t>10000000</w:t>
            </w:r>
          </w:p>
        </w:tc>
        <w:tc>
          <w:tcPr>
            <w:tcW w:w="2203" w:type="dxa"/>
            <w:vAlign w:val="center"/>
          </w:tcPr>
          <w:p w14:paraId="23E0BF4B" w14:textId="77777777" w:rsidR="00870F84" w:rsidRPr="00FD78D9" w:rsidRDefault="00870F84" w:rsidP="00E41024">
            <w:pPr>
              <w:jc w:val="center"/>
              <w:rPr>
                <w:sz w:val="20"/>
                <w:szCs w:val="20"/>
              </w:rPr>
            </w:pPr>
            <w:r w:rsidRPr="00FD78D9">
              <w:rPr>
                <w:sz w:val="20"/>
                <w:szCs w:val="20"/>
              </w:rPr>
              <w:t>kWh</w:t>
            </w:r>
          </w:p>
        </w:tc>
      </w:tr>
      <w:tr w:rsidR="00870F84" w14:paraId="607F0FBE" w14:textId="77777777" w:rsidTr="00E41024">
        <w:tc>
          <w:tcPr>
            <w:tcW w:w="2715" w:type="dxa"/>
            <w:shd w:val="clear" w:color="auto" w:fill="F2F2F2" w:themeFill="background1" w:themeFillShade="F2"/>
            <w:vAlign w:val="center"/>
          </w:tcPr>
          <w:p w14:paraId="1B696112" w14:textId="77777777" w:rsidR="00870F84" w:rsidRPr="00FD78D9" w:rsidRDefault="00870F84" w:rsidP="00E41024">
            <w:pPr>
              <w:rPr>
                <w:b/>
                <w:bCs/>
                <w:sz w:val="20"/>
                <w:szCs w:val="20"/>
              </w:rPr>
            </w:pPr>
            <w:r w:rsidRPr="00FD78D9">
              <w:rPr>
                <w:b/>
                <w:bCs/>
                <w:sz w:val="20"/>
                <w:szCs w:val="20"/>
              </w:rPr>
              <w:t>Precursor Material</w:t>
            </w:r>
          </w:p>
        </w:tc>
        <w:tc>
          <w:tcPr>
            <w:tcW w:w="2005" w:type="dxa"/>
            <w:vAlign w:val="center"/>
          </w:tcPr>
          <w:p w14:paraId="34BDA3EB" w14:textId="23411D46" w:rsidR="00870F84" w:rsidRDefault="00663870" w:rsidP="00E41024">
            <w:pPr>
              <w:jc w:val="center"/>
              <w:rPr>
                <w:sz w:val="20"/>
                <w:szCs w:val="20"/>
              </w:rPr>
            </w:pPr>
            <w:r>
              <w:rPr>
                <w:sz w:val="20"/>
                <w:szCs w:val="20"/>
              </w:rPr>
              <w:t>China</w:t>
            </w:r>
          </w:p>
          <w:p w14:paraId="6A462E35" w14:textId="53BAD01A" w:rsidR="00870F84" w:rsidRPr="00FD78D9" w:rsidRDefault="00663870" w:rsidP="00E41024">
            <w:pPr>
              <w:jc w:val="center"/>
              <w:rPr>
                <w:sz w:val="20"/>
                <w:szCs w:val="20"/>
              </w:rPr>
            </w:pPr>
            <w:r>
              <w:rPr>
                <w:sz w:val="20"/>
                <w:szCs w:val="20"/>
              </w:rPr>
              <w:t>United States</w:t>
            </w:r>
          </w:p>
        </w:tc>
        <w:tc>
          <w:tcPr>
            <w:tcW w:w="2427" w:type="dxa"/>
            <w:vAlign w:val="center"/>
          </w:tcPr>
          <w:p w14:paraId="21679E2B" w14:textId="77777777" w:rsidR="00870F84" w:rsidRDefault="00870F84" w:rsidP="00E41024">
            <w:pPr>
              <w:jc w:val="center"/>
              <w:rPr>
                <w:sz w:val="20"/>
                <w:szCs w:val="20"/>
              </w:rPr>
            </w:pPr>
            <w:r>
              <w:rPr>
                <w:sz w:val="20"/>
                <w:szCs w:val="20"/>
              </w:rPr>
              <w:t>20000</w:t>
            </w:r>
          </w:p>
          <w:p w14:paraId="1F2B9537" w14:textId="77777777" w:rsidR="00870F84" w:rsidRPr="00FD78D9" w:rsidRDefault="00870F84" w:rsidP="00E41024">
            <w:pPr>
              <w:jc w:val="center"/>
              <w:rPr>
                <w:sz w:val="20"/>
                <w:szCs w:val="20"/>
              </w:rPr>
            </w:pPr>
            <w:r>
              <w:rPr>
                <w:sz w:val="20"/>
                <w:szCs w:val="20"/>
              </w:rPr>
              <w:t>10000</w:t>
            </w:r>
          </w:p>
        </w:tc>
        <w:tc>
          <w:tcPr>
            <w:tcW w:w="2203" w:type="dxa"/>
            <w:vAlign w:val="center"/>
          </w:tcPr>
          <w:p w14:paraId="66081E4B" w14:textId="77777777" w:rsidR="00870F84" w:rsidRPr="00FD78D9" w:rsidRDefault="00870F84" w:rsidP="00E41024">
            <w:pPr>
              <w:jc w:val="center"/>
              <w:rPr>
                <w:sz w:val="20"/>
                <w:szCs w:val="20"/>
              </w:rPr>
            </w:pPr>
            <w:r w:rsidRPr="00FD78D9">
              <w:rPr>
                <w:sz w:val="20"/>
                <w:szCs w:val="20"/>
              </w:rPr>
              <w:t>Tons</w:t>
            </w:r>
          </w:p>
        </w:tc>
      </w:tr>
    </w:tbl>
    <w:p w14:paraId="75447F01" w14:textId="6D80454A" w:rsidR="005B31E0" w:rsidRPr="005B31E0" w:rsidRDefault="007811E0" w:rsidP="005B31E0">
      <w:r>
        <w:t xml:space="preserve">Using a simple template where all numbers are derived using </w:t>
      </w:r>
      <w:r w:rsidR="001732FF">
        <w:t xml:space="preserve">2025 default values, we get a </w:t>
      </w:r>
      <w:r w:rsidR="00E134A7">
        <w:t xml:space="preserve">SEE of .97 tCO2e/t for 2025. </w:t>
      </w:r>
      <w:r w:rsidR="009A54A6">
        <w:t xml:space="preserve">If we move forward in time, we </w:t>
      </w:r>
      <w:r w:rsidR="00E17DED">
        <w:t>will</w:t>
      </w:r>
      <w:r w:rsidR="009A54A6">
        <w:t xml:space="preserve"> get a SEE of </w:t>
      </w:r>
      <w:r w:rsidR="00AE08F8">
        <w:t xml:space="preserve">1.06 tCO2e/t in 2026, a SEE of 1.14 tCO2e/t in 2027, and a SEE of </w:t>
      </w:r>
      <w:r w:rsidR="0029750A">
        <w:t xml:space="preserve">1.23 tCO2e/t in 2028. Assuming a total cost of </w:t>
      </w:r>
      <w:r w:rsidR="00DF5A5B" w:rsidRPr="003D5624">
        <w:t>€</w:t>
      </w:r>
      <w:r w:rsidR="00DF5A5B">
        <w:t xml:space="preserve">75.36 per ton (from the 2026 ETS price of Carbon) the costs would increase from </w:t>
      </w:r>
      <w:r w:rsidR="008D3FC5" w:rsidRPr="003D5624">
        <w:t>€</w:t>
      </w:r>
      <w:r w:rsidR="008D3FC5">
        <w:t xml:space="preserve">7,309,920 </w:t>
      </w:r>
      <w:r w:rsidR="00420E07">
        <w:t xml:space="preserve">to </w:t>
      </w:r>
      <w:r w:rsidR="008D3FC5" w:rsidRPr="003D5624">
        <w:t>€</w:t>
      </w:r>
      <w:r w:rsidR="00545C92">
        <w:t>9,269,280 over the course of 3 years</w:t>
      </w:r>
      <w:r w:rsidR="00B014B4">
        <w:t xml:space="preserve">, a change of about </w:t>
      </w:r>
      <w:r w:rsidR="00B014B4" w:rsidRPr="003D5624">
        <w:t>€</w:t>
      </w:r>
      <w:r w:rsidR="00B014B4">
        <w:t>2 million</w:t>
      </w:r>
    </w:p>
    <w:p w14:paraId="39AE886A" w14:textId="77777777" w:rsidR="00E134A7" w:rsidRDefault="00E134A7" w:rsidP="00E134A7">
      <w:r w:rsidRPr="003D5624">
        <w:t>CBAM Cost (€)</w:t>
      </w:r>
      <w:r>
        <w:t xml:space="preserve"> </w:t>
      </w:r>
      <w:r w:rsidRPr="003D5624">
        <w:t>=</w:t>
      </w:r>
      <w:r>
        <w:t xml:space="preserve"> </w:t>
      </w:r>
      <w:r w:rsidRPr="003D5624">
        <w:t>(SEE</w:t>
      </w:r>
      <w:r>
        <w:t xml:space="preserve"> </w:t>
      </w:r>
      <w:r w:rsidRPr="003D5624">
        <w:t>×</w:t>
      </w:r>
      <w:r>
        <w:t xml:space="preserve"> </w:t>
      </w:r>
      <w:r w:rsidRPr="003D5624">
        <w:t>Quantity)</w:t>
      </w:r>
      <w:r>
        <w:t xml:space="preserve"> </w:t>
      </w:r>
      <w:r w:rsidRPr="003D5624">
        <w:t>×</w:t>
      </w:r>
      <w:r>
        <w:t xml:space="preserve"> </w:t>
      </w:r>
      <w:r w:rsidRPr="003D5624">
        <w:t>EU ETS Carbon Price</w:t>
      </w:r>
    </w:p>
    <w:p w14:paraId="77B4168F" w14:textId="028A99D3" w:rsidR="00E134A7" w:rsidRDefault="008B1A37" w:rsidP="00E134A7">
      <w:r>
        <w:t>.97</w:t>
      </w:r>
      <w:r w:rsidR="00E134A7">
        <w:t xml:space="preserve"> </w:t>
      </w:r>
      <w:r w:rsidR="00D92AF9">
        <w:t>tCO2e/</w:t>
      </w:r>
      <w:r w:rsidR="00736E3F">
        <w:t>t x</w:t>
      </w:r>
      <w:r w:rsidR="00E134A7">
        <w:t xml:space="preserve"> </w:t>
      </w:r>
      <w:r>
        <w:t>10</w:t>
      </w:r>
      <w:r w:rsidR="00E134A7">
        <w:t>0,000 tons</w:t>
      </w:r>
      <w:r w:rsidR="003B670D">
        <w:t xml:space="preserve"> x </w:t>
      </w:r>
      <w:r w:rsidR="003B670D" w:rsidRPr="003D5624">
        <w:t>€</w:t>
      </w:r>
      <w:r w:rsidR="003B670D">
        <w:t>75.36</w:t>
      </w:r>
      <w:r w:rsidR="00E134A7">
        <w:t xml:space="preserve"> = </w:t>
      </w:r>
      <w:r w:rsidR="00E134A7" w:rsidRPr="003D5624">
        <w:t>€</w:t>
      </w:r>
      <w:r>
        <w:t>7,309,920</w:t>
      </w:r>
    </w:p>
    <w:p w14:paraId="2C45E07A" w14:textId="724509FA" w:rsidR="008D3FC5" w:rsidRDefault="008D3FC5" w:rsidP="00E134A7">
      <w:r>
        <w:t xml:space="preserve">1.23 tCO2e/t x 100,000 tons x </w:t>
      </w:r>
      <w:r w:rsidRPr="003D5624">
        <w:t>€</w:t>
      </w:r>
      <w:r>
        <w:t xml:space="preserve">75.36 = </w:t>
      </w:r>
      <w:r w:rsidRPr="003D5624">
        <w:t>€</w:t>
      </w:r>
      <w:r w:rsidR="00545C92">
        <w:t>9,269,280</w:t>
      </w:r>
    </w:p>
    <w:p w14:paraId="19386F44" w14:textId="3EBC34DB" w:rsidR="00B014B4" w:rsidRDefault="00B014B4" w:rsidP="00E134A7">
      <w:r>
        <w:t>Table 6: Cost of Defaults over time. Data taken from Table 5</w:t>
      </w:r>
    </w:p>
    <w:tbl>
      <w:tblPr>
        <w:tblStyle w:val="TableGrid"/>
        <w:tblW w:w="0" w:type="auto"/>
        <w:tblLook w:val="04A0" w:firstRow="1" w:lastRow="0" w:firstColumn="1" w:lastColumn="0" w:noHBand="0" w:noVBand="1"/>
      </w:tblPr>
      <w:tblGrid>
        <w:gridCol w:w="2715"/>
        <w:gridCol w:w="2005"/>
        <w:gridCol w:w="2427"/>
        <w:gridCol w:w="2203"/>
      </w:tblGrid>
      <w:tr w:rsidR="00B014B4" w14:paraId="25B09784" w14:textId="77777777" w:rsidTr="00E41024">
        <w:trPr>
          <w:trHeight w:val="422"/>
        </w:trPr>
        <w:tc>
          <w:tcPr>
            <w:tcW w:w="2715" w:type="dxa"/>
            <w:tcBorders>
              <w:top w:val="single" w:sz="4" w:space="0" w:color="auto"/>
              <w:left w:val="single" w:sz="4" w:space="0" w:color="auto"/>
              <w:bottom w:val="single" w:sz="4" w:space="0" w:color="auto"/>
            </w:tcBorders>
            <w:shd w:val="clear" w:color="auto" w:fill="D9D9D9" w:themeFill="background1" w:themeFillShade="D9"/>
            <w:vAlign w:val="center"/>
          </w:tcPr>
          <w:p w14:paraId="2DE459B1" w14:textId="7178B077" w:rsidR="00B014B4" w:rsidRPr="00FD78D9" w:rsidRDefault="00B014B4" w:rsidP="00E41024">
            <w:pPr>
              <w:jc w:val="center"/>
              <w:rPr>
                <w:b/>
                <w:bCs/>
                <w:sz w:val="20"/>
                <w:szCs w:val="20"/>
              </w:rPr>
            </w:pPr>
            <w:r>
              <w:rPr>
                <w:b/>
                <w:bCs/>
                <w:sz w:val="20"/>
                <w:szCs w:val="20"/>
              </w:rPr>
              <w:t>Year</w:t>
            </w:r>
          </w:p>
        </w:tc>
        <w:tc>
          <w:tcPr>
            <w:tcW w:w="2005" w:type="dxa"/>
            <w:tcBorders>
              <w:top w:val="single" w:sz="4" w:space="0" w:color="auto"/>
              <w:bottom w:val="single" w:sz="4" w:space="0" w:color="auto"/>
            </w:tcBorders>
            <w:shd w:val="clear" w:color="auto" w:fill="D9D9D9" w:themeFill="background1" w:themeFillShade="D9"/>
            <w:vAlign w:val="center"/>
          </w:tcPr>
          <w:p w14:paraId="2C51B00C" w14:textId="1D969754" w:rsidR="00B014B4" w:rsidRPr="00FD78D9" w:rsidRDefault="00B014B4" w:rsidP="00E41024">
            <w:pPr>
              <w:jc w:val="center"/>
              <w:rPr>
                <w:b/>
                <w:bCs/>
                <w:sz w:val="20"/>
                <w:szCs w:val="20"/>
              </w:rPr>
            </w:pPr>
            <w:r>
              <w:rPr>
                <w:b/>
                <w:bCs/>
                <w:sz w:val="20"/>
                <w:szCs w:val="20"/>
              </w:rPr>
              <w:t>SEE (</w:t>
            </w:r>
            <w:r w:rsidR="00B32E22">
              <w:rPr>
                <w:b/>
                <w:bCs/>
                <w:sz w:val="20"/>
                <w:szCs w:val="20"/>
              </w:rPr>
              <w:t>tCO2e/t)</w:t>
            </w:r>
          </w:p>
        </w:tc>
        <w:tc>
          <w:tcPr>
            <w:tcW w:w="2427" w:type="dxa"/>
            <w:tcBorders>
              <w:top w:val="single" w:sz="4" w:space="0" w:color="auto"/>
              <w:bottom w:val="single" w:sz="4" w:space="0" w:color="auto"/>
            </w:tcBorders>
            <w:shd w:val="clear" w:color="auto" w:fill="D9D9D9" w:themeFill="background1" w:themeFillShade="D9"/>
            <w:vAlign w:val="center"/>
          </w:tcPr>
          <w:p w14:paraId="54DB808B" w14:textId="45842604" w:rsidR="00B014B4" w:rsidRPr="00FD78D9" w:rsidRDefault="00B32E22" w:rsidP="00E41024">
            <w:pPr>
              <w:jc w:val="center"/>
              <w:rPr>
                <w:b/>
                <w:bCs/>
                <w:sz w:val="20"/>
                <w:szCs w:val="20"/>
              </w:rPr>
            </w:pPr>
            <w:r>
              <w:rPr>
                <w:b/>
                <w:bCs/>
                <w:sz w:val="20"/>
                <w:szCs w:val="20"/>
              </w:rPr>
              <w:t>Price of Carbon (per ton)</w:t>
            </w:r>
          </w:p>
        </w:tc>
        <w:tc>
          <w:tcPr>
            <w:tcW w:w="2203" w:type="dxa"/>
            <w:tcBorders>
              <w:top w:val="single" w:sz="4" w:space="0" w:color="auto"/>
              <w:bottom w:val="single" w:sz="4" w:space="0" w:color="auto"/>
              <w:right w:val="single" w:sz="4" w:space="0" w:color="auto"/>
            </w:tcBorders>
            <w:shd w:val="clear" w:color="auto" w:fill="D9D9D9" w:themeFill="background1" w:themeFillShade="D9"/>
            <w:vAlign w:val="center"/>
          </w:tcPr>
          <w:p w14:paraId="03DF3994" w14:textId="785F2E37" w:rsidR="00B014B4" w:rsidRPr="00FD78D9" w:rsidRDefault="00B32E22" w:rsidP="00E41024">
            <w:pPr>
              <w:jc w:val="center"/>
              <w:rPr>
                <w:b/>
                <w:bCs/>
                <w:sz w:val="20"/>
                <w:szCs w:val="20"/>
              </w:rPr>
            </w:pPr>
            <w:r>
              <w:rPr>
                <w:b/>
                <w:bCs/>
                <w:sz w:val="20"/>
                <w:szCs w:val="20"/>
              </w:rPr>
              <w:t>Cost</w:t>
            </w:r>
          </w:p>
        </w:tc>
      </w:tr>
      <w:tr w:rsidR="00B014B4" w14:paraId="1E8D7E30" w14:textId="77777777" w:rsidTr="00E41024">
        <w:tc>
          <w:tcPr>
            <w:tcW w:w="2715" w:type="dxa"/>
            <w:tcBorders>
              <w:top w:val="single" w:sz="4" w:space="0" w:color="auto"/>
            </w:tcBorders>
            <w:shd w:val="clear" w:color="auto" w:fill="F2F2F2" w:themeFill="background1" w:themeFillShade="F2"/>
            <w:vAlign w:val="center"/>
          </w:tcPr>
          <w:p w14:paraId="02B17800" w14:textId="3078A3A0" w:rsidR="00B014B4" w:rsidRPr="00FD78D9" w:rsidRDefault="00B014B4" w:rsidP="00DC2E74">
            <w:pPr>
              <w:jc w:val="center"/>
              <w:rPr>
                <w:b/>
                <w:bCs/>
                <w:sz w:val="20"/>
                <w:szCs w:val="20"/>
              </w:rPr>
            </w:pPr>
            <w:r>
              <w:rPr>
                <w:b/>
                <w:bCs/>
                <w:sz w:val="20"/>
                <w:szCs w:val="20"/>
              </w:rPr>
              <w:t>202</w:t>
            </w:r>
            <w:r w:rsidR="0013785E">
              <w:rPr>
                <w:b/>
                <w:bCs/>
                <w:sz w:val="20"/>
                <w:szCs w:val="20"/>
              </w:rPr>
              <w:t>6</w:t>
            </w:r>
          </w:p>
        </w:tc>
        <w:tc>
          <w:tcPr>
            <w:tcW w:w="2005" w:type="dxa"/>
            <w:tcBorders>
              <w:top w:val="single" w:sz="4" w:space="0" w:color="auto"/>
            </w:tcBorders>
            <w:vAlign w:val="center"/>
          </w:tcPr>
          <w:p w14:paraId="6D5551B1" w14:textId="2B125EDC" w:rsidR="00B014B4" w:rsidRPr="00FD78D9" w:rsidRDefault="00B014B4" w:rsidP="00E41024">
            <w:pPr>
              <w:jc w:val="center"/>
              <w:rPr>
                <w:sz w:val="20"/>
                <w:szCs w:val="20"/>
              </w:rPr>
            </w:pPr>
            <w:r>
              <w:rPr>
                <w:sz w:val="20"/>
                <w:szCs w:val="20"/>
              </w:rPr>
              <w:t>.97</w:t>
            </w:r>
          </w:p>
        </w:tc>
        <w:tc>
          <w:tcPr>
            <w:tcW w:w="2427" w:type="dxa"/>
            <w:tcBorders>
              <w:top w:val="single" w:sz="4" w:space="0" w:color="auto"/>
            </w:tcBorders>
            <w:vAlign w:val="center"/>
          </w:tcPr>
          <w:p w14:paraId="7D2BEE42" w14:textId="70814A37" w:rsidR="00B014B4" w:rsidRPr="00FD78D9" w:rsidRDefault="00B32E22" w:rsidP="00E41024">
            <w:pPr>
              <w:jc w:val="center"/>
              <w:rPr>
                <w:sz w:val="20"/>
                <w:szCs w:val="20"/>
              </w:rPr>
            </w:pPr>
            <w:r w:rsidRPr="003D5624">
              <w:t>€</w:t>
            </w:r>
            <w:r>
              <w:t>75.36</w:t>
            </w:r>
          </w:p>
        </w:tc>
        <w:tc>
          <w:tcPr>
            <w:tcW w:w="2203" w:type="dxa"/>
            <w:tcBorders>
              <w:top w:val="single" w:sz="4" w:space="0" w:color="auto"/>
            </w:tcBorders>
            <w:vAlign w:val="center"/>
          </w:tcPr>
          <w:p w14:paraId="19604D98" w14:textId="4E67E64D" w:rsidR="00B014B4" w:rsidRPr="00FD78D9" w:rsidRDefault="00404A11" w:rsidP="00E41024">
            <w:pPr>
              <w:jc w:val="center"/>
              <w:rPr>
                <w:sz w:val="20"/>
                <w:szCs w:val="20"/>
              </w:rPr>
            </w:pPr>
            <w:r w:rsidRPr="003D5624">
              <w:t>€</w:t>
            </w:r>
            <w:r>
              <w:t>7,309,920</w:t>
            </w:r>
          </w:p>
        </w:tc>
      </w:tr>
      <w:tr w:rsidR="00B014B4" w14:paraId="742F5FC4" w14:textId="77777777" w:rsidTr="00E41024">
        <w:tc>
          <w:tcPr>
            <w:tcW w:w="2715" w:type="dxa"/>
            <w:shd w:val="clear" w:color="auto" w:fill="F2F2F2" w:themeFill="background1" w:themeFillShade="F2"/>
            <w:vAlign w:val="center"/>
          </w:tcPr>
          <w:p w14:paraId="352EB33B" w14:textId="2A389FCF" w:rsidR="00B014B4" w:rsidRPr="00FD78D9" w:rsidRDefault="00B014B4" w:rsidP="00DC2E74">
            <w:pPr>
              <w:jc w:val="center"/>
              <w:rPr>
                <w:b/>
                <w:bCs/>
                <w:sz w:val="20"/>
                <w:szCs w:val="20"/>
              </w:rPr>
            </w:pPr>
            <w:r>
              <w:rPr>
                <w:b/>
                <w:bCs/>
                <w:sz w:val="20"/>
                <w:szCs w:val="20"/>
              </w:rPr>
              <w:lastRenderedPageBreak/>
              <w:t>202</w:t>
            </w:r>
            <w:r w:rsidR="0013785E">
              <w:rPr>
                <w:b/>
                <w:bCs/>
                <w:sz w:val="20"/>
                <w:szCs w:val="20"/>
              </w:rPr>
              <w:t>7</w:t>
            </w:r>
          </w:p>
        </w:tc>
        <w:tc>
          <w:tcPr>
            <w:tcW w:w="2005" w:type="dxa"/>
            <w:vAlign w:val="center"/>
          </w:tcPr>
          <w:p w14:paraId="5B9EB653" w14:textId="6DD69CB0" w:rsidR="00B014B4" w:rsidRPr="00FD78D9" w:rsidRDefault="00404A11" w:rsidP="00E41024">
            <w:pPr>
              <w:jc w:val="center"/>
              <w:rPr>
                <w:sz w:val="20"/>
                <w:szCs w:val="20"/>
              </w:rPr>
            </w:pPr>
            <w:r>
              <w:rPr>
                <w:sz w:val="20"/>
                <w:szCs w:val="20"/>
              </w:rPr>
              <w:t>1.06</w:t>
            </w:r>
          </w:p>
        </w:tc>
        <w:tc>
          <w:tcPr>
            <w:tcW w:w="2427" w:type="dxa"/>
            <w:vAlign w:val="center"/>
          </w:tcPr>
          <w:p w14:paraId="72C56A76" w14:textId="158B7E7A" w:rsidR="00B014B4" w:rsidRPr="00FD78D9" w:rsidRDefault="00B32E22" w:rsidP="00E41024">
            <w:pPr>
              <w:jc w:val="center"/>
              <w:rPr>
                <w:sz w:val="20"/>
                <w:szCs w:val="20"/>
              </w:rPr>
            </w:pPr>
            <w:r w:rsidRPr="003D5624">
              <w:t>€</w:t>
            </w:r>
            <w:r>
              <w:t>75.36</w:t>
            </w:r>
          </w:p>
        </w:tc>
        <w:tc>
          <w:tcPr>
            <w:tcW w:w="2203" w:type="dxa"/>
            <w:vAlign w:val="center"/>
          </w:tcPr>
          <w:p w14:paraId="1A9228AE" w14:textId="10918E2D" w:rsidR="00B014B4" w:rsidRPr="00FD78D9" w:rsidRDefault="004D1145" w:rsidP="00E41024">
            <w:pPr>
              <w:jc w:val="center"/>
              <w:rPr>
                <w:sz w:val="20"/>
                <w:szCs w:val="20"/>
              </w:rPr>
            </w:pPr>
            <w:r w:rsidRPr="003D5624">
              <w:t>€</w:t>
            </w:r>
            <w:r>
              <w:rPr>
                <w:sz w:val="20"/>
                <w:szCs w:val="20"/>
              </w:rPr>
              <w:t>7,988,160</w:t>
            </w:r>
          </w:p>
        </w:tc>
      </w:tr>
      <w:tr w:rsidR="00B014B4" w14:paraId="583D4504" w14:textId="77777777" w:rsidTr="00E41024">
        <w:tc>
          <w:tcPr>
            <w:tcW w:w="2715" w:type="dxa"/>
            <w:shd w:val="clear" w:color="auto" w:fill="F2F2F2" w:themeFill="background1" w:themeFillShade="F2"/>
            <w:vAlign w:val="center"/>
          </w:tcPr>
          <w:p w14:paraId="5879EA1F" w14:textId="11C50D3F" w:rsidR="00B014B4" w:rsidRPr="00FD78D9" w:rsidRDefault="00B014B4" w:rsidP="00DC2E74">
            <w:pPr>
              <w:jc w:val="center"/>
              <w:rPr>
                <w:b/>
                <w:bCs/>
                <w:sz w:val="20"/>
                <w:szCs w:val="20"/>
              </w:rPr>
            </w:pPr>
            <w:r>
              <w:rPr>
                <w:b/>
                <w:bCs/>
                <w:sz w:val="20"/>
                <w:szCs w:val="20"/>
              </w:rPr>
              <w:t>202</w:t>
            </w:r>
            <w:r w:rsidR="0013785E">
              <w:rPr>
                <w:b/>
                <w:bCs/>
                <w:sz w:val="20"/>
                <w:szCs w:val="20"/>
              </w:rPr>
              <w:t>8</w:t>
            </w:r>
          </w:p>
        </w:tc>
        <w:tc>
          <w:tcPr>
            <w:tcW w:w="2005" w:type="dxa"/>
            <w:vAlign w:val="center"/>
          </w:tcPr>
          <w:p w14:paraId="58179448" w14:textId="58F62C8F" w:rsidR="00B014B4" w:rsidRPr="00FD78D9" w:rsidRDefault="00404A11" w:rsidP="00E41024">
            <w:pPr>
              <w:jc w:val="center"/>
              <w:rPr>
                <w:sz w:val="20"/>
                <w:szCs w:val="20"/>
              </w:rPr>
            </w:pPr>
            <w:r>
              <w:rPr>
                <w:sz w:val="20"/>
                <w:szCs w:val="20"/>
              </w:rPr>
              <w:t>1.14</w:t>
            </w:r>
          </w:p>
        </w:tc>
        <w:tc>
          <w:tcPr>
            <w:tcW w:w="2427" w:type="dxa"/>
            <w:vAlign w:val="center"/>
          </w:tcPr>
          <w:p w14:paraId="1BA07303" w14:textId="0C292DA6" w:rsidR="00B014B4" w:rsidRPr="00FD78D9" w:rsidRDefault="00B32E22" w:rsidP="00E41024">
            <w:pPr>
              <w:jc w:val="center"/>
              <w:rPr>
                <w:sz w:val="20"/>
                <w:szCs w:val="20"/>
              </w:rPr>
            </w:pPr>
            <w:r w:rsidRPr="003D5624">
              <w:t>€</w:t>
            </w:r>
            <w:r>
              <w:t>75.36</w:t>
            </w:r>
          </w:p>
        </w:tc>
        <w:tc>
          <w:tcPr>
            <w:tcW w:w="2203" w:type="dxa"/>
            <w:vAlign w:val="center"/>
          </w:tcPr>
          <w:p w14:paraId="7569004B" w14:textId="252B7BEC" w:rsidR="00B014B4" w:rsidRPr="00FD78D9" w:rsidRDefault="004D1145" w:rsidP="00E41024">
            <w:pPr>
              <w:jc w:val="center"/>
              <w:rPr>
                <w:sz w:val="20"/>
                <w:szCs w:val="20"/>
              </w:rPr>
            </w:pPr>
            <w:r w:rsidRPr="003D5624">
              <w:t>€</w:t>
            </w:r>
            <w:r w:rsidR="00DC2E74">
              <w:t>8,591,040</w:t>
            </w:r>
          </w:p>
        </w:tc>
      </w:tr>
      <w:tr w:rsidR="00B014B4" w14:paraId="41E83E47" w14:textId="77777777" w:rsidTr="00E41024">
        <w:tc>
          <w:tcPr>
            <w:tcW w:w="2715" w:type="dxa"/>
            <w:shd w:val="clear" w:color="auto" w:fill="F2F2F2" w:themeFill="background1" w:themeFillShade="F2"/>
            <w:vAlign w:val="center"/>
          </w:tcPr>
          <w:p w14:paraId="418D8963" w14:textId="604082C1" w:rsidR="00B014B4" w:rsidRPr="00FD78D9" w:rsidRDefault="00B014B4" w:rsidP="00DC2E74">
            <w:pPr>
              <w:jc w:val="center"/>
              <w:rPr>
                <w:b/>
                <w:bCs/>
                <w:sz w:val="20"/>
                <w:szCs w:val="20"/>
              </w:rPr>
            </w:pPr>
            <w:r>
              <w:rPr>
                <w:b/>
                <w:bCs/>
                <w:sz w:val="20"/>
                <w:szCs w:val="20"/>
              </w:rPr>
              <w:t>202</w:t>
            </w:r>
            <w:r w:rsidR="0013785E">
              <w:rPr>
                <w:b/>
                <w:bCs/>
                <w:sz w:val="20"/>
                <w:szCs w:val="20"/>
              </w:rPr>
              <w:t>9</w:t>
            </w:r>
          </w:p>
        </w:tc>
        <w:tc>
          <w:tcPr>
            <w:tcW w:w="2005" w:type="dxa"/>
            <w:vAlign w:val="center"/>
          </w:tcPr>
          <w:p w14:paraId="3E45EB53" w14:textId="1CBA57B1" w:rsidR="00B014B4" w:rsidRPr="00FD78D9" w:rsidRDefault="00404A11" w:rsidP="00E41024">
            <w:pPr>
              <w:jc w:val="center"/>
              <w:rPr>
                <w:sz w:val="20"/>
                <w:szCs w:val="20"/>
              </w:rPr>
            </w:pPr>
            <w:r>
              <w:rPr>
                <w:sz w:val="20"/>
                <w:szCs w:val="20"/>
              </w:rPr>
              <w:t>1.23</w:t>
            </w:r>
          </w:p>
        </w:tc>
        <w:tc>
          <w:tcPr>
            <w:tcW w:w="2427" w:type="dxa"/>
            <w:vAlign w:val="center"/>
          </w:tcPr>
          <w:p w14:paraId="0EB391E5" w14:textId="724A41A3" w:rsidR="00B014B4" w:rsidRPr="00FD78D9" w:rsidRDefault="00B32E22" w:rsidP="00E41024">
            <w:pPr>
              <w:jc w:val="center"/>
              <w:rPr>
                <w:sz w:val="20"/>
                <w:szCs w:val="20"/>
              </w:rPr>
            </w:pPr>
            <w:r w:rsidRPr="003D5624">
              <w:t>€</w:t>
            </w:r>
            <w:r>
              <w:t>75.36</w:t>
            </w:r>
          </w:p>
        </w:tc>
        <w:tc>
          <w:tcPr>
            <w:tcW w:w="2203" w:type="dxa"/>
            <w:vAlign w:val="center"/>
          </w:tcPr>
          <w:p w14:paraId="19F0B1F8" w14:textId="02EF478F" w:rsidR="00B014B4" w:rsidRPr="00FD78D9" w:rsidRDefault="00404A11" w:rsidP="00E41024">
            <w:pPr>
              <w:jc w:val="center"/>
              <w:rPr>
                <w:sz w:val="20"/>
                <w:szCs w:val="20"/>
              </w:rPr>
            </w:pPr>
            <w:r w:rsidRPr="003D5624">
              <w:t>€</w:t>
            </w:r>
            <w:r>
              <w:t>9,269,280</w:t>
            </w:r>
          </w:p>
        </w:tc>
      </w:tr>
    </w:tbl>
    <w:p w14:paraId="3FEE23E8" w14:textId="77777777" w:rsidR="00B014B4" w:rsidRDefault="00B014B4" w:rsidP="00E134A7"/>
    <w:p w14:paraId="42270EC3" w14:textId="2D8F5061" w:rsidR="00B014B4" w:rsidRDefault="001C4390" w:rsidP="00E134A7">
      <w:r>
        <w:t xml:space="preserve">As shown in table 6, the </w:t>
      </w:r>
      <w:r w:rsidR="00A85BD3">
        <w:t xml:space="preserve">costs of using defaults </w:t>
      </w:r>
      <w:r w:rsidR="00D75D69">
        <w:t>rise</w:t>
      </w:r>
      <w:r w:rsidR="005C7921">
        <w:t xml:space="preserve"> quite substantially over time. The EU introduced this mechanism to encourage importers to capture and report their own data, as opposed to using </w:t>
      </w:r>
      <w:r w:rsidR="00307226">
        <w:t xml:space="preserve">those provided by the EU commission. </w:t>
      </w:r>
      <w:r w:rsidR="004D5D78">
        <w:t xml:space="preserve">To avoid this, </w:t>
      </w:r>
      <w:r w:rsidR="00873113">
        <w:t xml:space="preserve">CBAM encourages companies to collect and validate their own data. Assuming </w:t>
      </w:r>
      <w:r w:rsidR="002A6ACD">
        <w:t>all variables stay the same (Cost of carbon, the SEE for precursor materials, and total export amounts)</w:t>
      </w:r>
      <w:r w:rsidR="00124797">
        <w:t xml:space="preserve"> companies using their own data will see their costs stabilize, as opposed to rise by 30% over the next three years. </w:t>
      </w:r>
    </w:p>
    <w:p w14:paraId="45D7F421" w14:textId="4F93AF9F" w:rsidR="00124797" w:rsidRDefault="00124797" w:rsidP="00E134A7">
      <w:r>
        <w:t>Example 2: Location of Precursor Materials stay the same.</w:t>
      </w:r>
    </w:p>
    <w:p w14:paraId="16E037F0" w14:textId="253FA062" w:rsidR="00612F68" w:rsidRDefault="00612F68" w:rsidP="00612F68">
      <w:r>
        <w:t>In practice, sourcing the same CBAM good from different countries can greatly increase reported embedded emissions because the EU’s default values (and, where applicable, benchmarks) are country-of-origin specific. Differences in grid carbon intensity, fuel mix, production technology, and process efficiency mean that two suppliers producing the same CN-coded product can carry materially different direct and indirect emissions profiles. As a result, shifting procurement toward higher-carbon jurisdictions</w:t>
      </w:r>
      <w:r w:rsidR="00506CD1">
        <w:t xml:space="preserve">, </w:t>
      </w:r>
      <w:r>
        <w:t>or simply using multiple countries of origin for the same input</w:t>
      </w:r>
      <w:r w:rsidR="00506CD1">
        <w:t xml:space="preserve">, </w:t>
      </w:r>
      <w:r>
        <w:t>can raise a company’s average specific embedded emissions (SEE) and, in turn, increase the number of CBAM certificates required (and associated costs) for an equivalent imported quantity, even when the physical product specifications remain unchanged.</w:t>
      </w:r>
    </w:p>
    <w:p w14:paraId="1EAC5237" w14:textId="4BC03A0C" w:rsidR="00506CD1" w:rsidRDefault="00506CD1" w:rsidP="00612F68">
      <w:pPr>
        <w:rPr>
          <w:lang w:eastAsia="en-US"/>
        </w:rPr>
      </w:pPr>
      <w:r>
        <w:t xml:space="preserve">Table 7: </w:t>
      </w:r>
      <w:r w:rsidR="00654DEC">
        <w:t xml:space="preserve">Default value comparisons across </w:t>
      </w:r>
      <w:r>
        <w:t>different locations</w:t>
      </w:r>
    </w:p>
    <w:tbl>
      <w:tblPr>
        <w:tblStyle w:val="TableGrid"/>
        <w:tblW w:w="0" w:type="auto"/>
        <w:tblLook w:val="04A0" w:firstRow="1" w:lastRow="0" w:firstColumn="1" w:lastColumn="0" w:noHBand="0" w:noVBand="1"/>
      </w:tblPr>
      <w:tblGrid>
        <w:gridCol w:w="2715"/>
        <w:gridCol w:w="2860"/>
        <w:gridCol w:w="3240"/>
      </w:tblGrid>
      <w:tr w:rsidR="00654DEC" w14:paraId="2AC9D305" w14:textId="77777777" w:rsidTr="0014750C">
        <w:trPr>
          <w:trHeight w:val="422"/>
        </w:trPr>
        <w:tc>
          <w:tcPr>
            <w:tcW w:w="2715" w:type="dxa"/>
            <w:tcBorders>
              <w:top w:val="single" w:sz="4" w:space="0" w:color="auto"/>
              <w:left w:val="single" w:sz="4" w:space="0" w:color="auto"/>
              <w:bottom w:val="single" w:sz="4" w:space="0" w:color="auto"/>
            </w:tcBorders>
            <w:shd w:val="clear" w:color="auto" w:fill="D9D9D9" w:themeFill="background1" w:themeFillShade="D9"/>
            <w:vAlign w:val="center"/>
          </w:tcPr>
          <w:p w14:paraId="4B23D0BA" w14:textId="02E96778" w:rsidR="00654DEC" w:rsidRPr="00654DEC" w:rsidRDefault="00654DEC" w:rsidP="00654DEC">
            <w:pPr>
              <w:jc w:val="center"/>
              <w:rPr>
                <w:b/>
                <w:bCs/>
                <w:sz w:val="20"/>
                <w:szCs w:val="20"/>
              </w:rPr>
            </w:pPr>
            <w:r w:rsidRPr="00654DEC">
              <w:rPr>
                <w:b/>
                <w:bCs/>
              </w:rPr>
              <w:t>Country</w:t>
            </w:r>
          </w:p>
        </w:tc>
        <w:tc>
          <w:tcPr>
            <w:tcW w:w="2860" w:type="dxa"/>
            <w:tcBorders>
              <w:top w:val="single" w:sz="4" w:space="0" w:color="auto"/>
              <w:bottom w:val="single" w:sz="4" w:space="0" w:color="auto"/>
            </w:tcBorders>
            <w:shd w:val="clear" w:color="auto" w:fill="D9D9D9" w:themeFill="background1" w:themeFillShade="D9"/>
            <w:vAlign w:val="center"/>
          </w:tcPr>
          <w:p w14:paraId="380B3DB9" w14:textId="7545842D" w:rsidR="00654DEC" w:rsidRPr="00FD78D9" w:rsidRDefault="00654DEC" w:rsidP="00654DEC">
            <w:pPr>
              <w:jc w:val="center"/>
              <w:rPr>
                <w:b/>
                <w:bCs/>
                <w:sz w:val="20"/>
                <w:szCs w:val="20"/>
              </w:rPr>
            </w:pPr>
            <w:r>
              <w:rPr>
                <w:rStyle w:val="Strong"/>
              </w:rPr>
              <w:t>Product CN Code</w:t>
            </w:r>
          </w:p>
        </w:tc>
        <w:tc>
          <w:tcPr>
            <w:tcW w:w="3240" w:type="dxa"/>
            <w:tcBorders>
              <w:top w:val="single" w:sz="4" w:space="0" w:color="auto"/>
              <w:bottom w:val="single" w:sz="4" w:space="0" w:color="auto"/>
            </w:tcBorders>
            <w:shd w:val="clear" w:color="auto" w:fill="D9D9D9" w:themeFill="background1" w:themeFillShade="D9"/>
            <w:vAlign w:val="center"/>
          </w:tcPr>
          <w:p w14:paraId="224BA6FE" w14:textId="42A1705A" w:rsidR="00654DEC" w:rsidRPr="00FD78D9" w:rsidRDefault="00654DEC" w:rsidP="00654DEC">
            <w:pPr>
              <w:jc w:val="center"/>
              <w:rPr>
                <w:b/>
                <w:bCs/>
                <w:sz w:val="20"/>
                <w:szCs w:val="20"/>
              </w:rPr>
            </w:pPr>
            <w:r>
              <w:rPr>
                <w:rStyle w:val="Strong"/>
              </w:rPr>
              <w:t>2026</w:t>
            </w:r>
            <w:r>
              <w:br/>
            </w:r>
            <w:r>
              <w:rPr>
                <w:rStyle w:val="Strong"/>
              </w:rPr>
              <w:t>Default Value</w:t>
            </w:r>
          </w:p>
        </w:tc>
      </w:tr>
      <w:tr w:rsidR="00654DEC" w14:paraId="16FC5EDF" w14:textId="77777777" w:rsidTr="0014750C">
        <w:tc>
          <w:tcPr>
            <w:tcW w:w="2715" w:type="dxa"/>
            <w:tcBorders>
              <w:top w:val="single" w:sz="4" w:space="0" w:color="auto"/>
            </w:tcBorders>
            <w:shd w:val="clear" w:color="auto" w:fill="F2F2F2" w:themeFill="background1" w:themeFillShade="F2"/>
            <w:vAlign w:val="center"/>
          </w:tcPr>
          <w:p w14:paraId="1BB13EDC" w14:textId="08D5ABFF" w:rsidR="00654DEC" w:rsidRPr="001E21E8" w:rsidRDefault="00D43B38" w:rsidP="00654DEC">
            <w:pPr>
              <w:jc w:val="center"/>
              <w:rPr>
                <w:b/>
                <w:bCs/>
                <w:sz w:val="20"/>
                <w:szCs w:val="20"/>
              </w:rPr>
            </w:pPr>
            <w:r w:rsidRPr="001E21E8">
              <w:rPr>
                <w:b/>
                <w:bCs/>
              </w:rPr>
              <w:t>United States</w:t>
            </w:r>
          </w:p>
        </w:tc>
        <w:tc>
          <w:tcPr>
            <w:tcW w:w="2860" w:type="dxa"/>
            <w:tcBorders>
              <w:top w:val="single" w:sz="4" w:space="0" w:color="auto"/>
            </w:tcBorders>
            <w:vAlign w:val="center"/>
          </w:tcPr>
          <w:p w14:paraId="79C541CE" w14:textId="31C6C3BD" w:rsidR="00654DEC" w:rsidRPr="00FD78D9" w:rsidRDefault="00864BF9" w:rsidP="00654DEC">
            <w:pPr>
              <w:jc w:val="center"/>
              <w:rPr>
                <w:sz w:val="20"/>
                <w:szCs w:val="20"/>
              </w:rPr>
            </w:pPr>
            <w:r w:rsidRPr="00864BF9">
              <w:t>Bars and Rods of Aluminum (or Aluminum Alloys)</w:t>
            </w:r>
          </w:p>
        </w:tc>
        <w:tc>
          <w:tcPr>
            <w:tcW w:w="3240" w:type="dxa"/>
            <w:tcBorders>
              <w:top w:val="single" w:sz="4" w:space="0" w:color="auto"/>
            </w:tcBorders>
            <w:vAlign w:val="center"/>
          </w:tcPr>
          <w:p w14:paraId="1F7A6B68" w14:textId="378F9F25" w:rsidR="00654DEC" w:rsidRPr="00FD78D9" w:rsidRDefault="00D43B38" w:rsidP="00654DEC">
            <w:pPr>
              <w:jc w:val="center"/>
              <w:rPr>
                <w:sz w:val="20"/>
                <w:szCs w:val="20"/>
              </w:rPr>
            </w:pPr>
            <w:r>
              <w:t>2.258</w:t>
            </w:r>
          </w:p>
        </w:tc>
      </w:tr>
      <w:tr w:rsidR="00654DEC" w14:paraId="1A4D0F3C" w14:textId="77777777" w:rsidTr="0014750C">
        <w:tc>
          <w:tcPr>
            <w:tcW w:w="2715" w:type="dxa"/>
            <w:shd w:val="clear" w:color="auto" w:fill="F2F2F2" w:themeFill="background1" w:themeFillShade="F2"/>
            <w:vAlign w:val="center"/>
          </w:tcPr>
          <w:p w14:paraId="6AD054AB" w14:textId="616C6677" w:rsidR="00654DEC" w:rsidRPr="001E21E8" w:rsidRDefault="00D43B38" w:rsidP="00654DEC">
            <w:pPr>
              <w:jc w:val="center"/>
              <w:rPr>
                <w:b/>
                <w:bCs/>
                <w:sz w:val="20"/>
                <w:szCs w:val="20"/>
              </w:rPr>
            </w:pPr>
            <w:r w:rsidRPr="001E21E8">
              <w:rPr>
                <w:b/>
                <w:bCs/>
                <w:sz w:val="20"/>
                <w:szCs w:val="20"/>
              </w:rPr>
              <w:t>Mexico</w:t>
            </w:r>
          </w:p>
        </w:tc>
        <w:tc>
          <w:tcPr>
            <w:tcW w:w="2860" w:type="dxa"/>
            <w:vAlign w:val="center"/>
          </w:tcPr>
          <w:p w14:paraId="554D2526" w14:textId="000B9AD1" w:rsidR="00654DEC" w:rsidRPr="00FD78D9" w:rsidRDefault="00864BF9" w:rsidP="00654DEC">
            <w:pPr>
              <w:jc w:val="center"/>
              <w:rPr>
                <w:sz w:val="20"/>
                <w:szCs w:val="20"/>
              </w:rPr>
            </w:pPr>
            <w:r w:rsidRPr="00864BF9">
              <w:t>Bars and Rods of Aluminum (or Aluminum Alloys)</w:t>
            </w:r>
          </w:p>
        </w:tc>
        <w:tc>
          <w:tcPr>
            <w:tcW w:w="3240" w:type="dxa"/>
            <w:vAlign w:val="center"/>
          </w:tcPr>
          <w:p w14:paraId="0B96F48E" w14:textId="78394CE2" w:rsidR="00654DEC" w:rsidRPr="00FD78D9" w:rsidRDefault="00D43B38" w:rsidP="00654DEC">
            <w:pPr>
              <w:jc w:val="center"/>
              <w:rPr>
                <w:sz w:val="20"/>
                <w:szCs w:val="20"/>
              </w:rPr>
            </w:pPr>
            <w:r>
              <w:t>1.41</w:t>
            </w:r>
          </w:p>
        </w:tc>
      </w:tr>
      <w:tr w:rsidR="00654DEC" w14:paraId="7A2CDE3E" w14:textId="77777777" w:rsidTr="0014750C">
        <w:tc>
          <w:tcPr>
            <w:tcW w:w="2715" w:type="dxa"/>
            <w:shd w:val="clear" w:color="auto" w:fill="F2F2F2" w:themeFill="background1" w:themeFillShade="F2"/>
            <w:vAlign w:val="center"/>
          </w:tcPr>
          <w:p w14:paraId="194E3CED" w14:textId="02B46748" w:rsidR="00654DEC" w:rsidRPr="001E21E8" w:rsidRDefault="00F65C99" w:rsidP="00654DEC">
            <w:pPr>
              <w:jc w:val="center"/>
              <w:rPr>
                <w:b/>
                <w:bCs/>
                <w:sz w:val="20"/>
                <w:szCs w:val="20"/>
              </w:rPr>
            </w:pPr>
            <w:r w:rsidRPr="001E21E8">
              <w:rPr>
                <w:b/>
                <w:bCs/>
              </w:rPr>
              <w:lastRenderedPageBreak/>
              <w:t>India</w:t>
            </w:r>
          </w:p>
        </w:tc>
        <w:tc>
          <w:tcPr>
            <w:tcW w:w="2860" w:type="dxa"/>
            <w:vAlign w:val="center"/>
          </w:tcPr>
          <w:p w14:paraId="6984188D" w14:textId="21709A71" w:rsidR="00654DEC" w:rsidRPr="00FD78D9" w:rsidRDefault="00864BF9" w:rsidP="00654DEC">
            <w:pPr>
              <w:jc w:val="center"/>
              <w:rPr>
                <w:sz w:val="20"/>
                <w:szCs w:val="20"/>
              </w:rPr>
            </w:pPr>
            <w:r w:rsidRPr="00864BF9">
              <w:t>Bars and Rods of Aluminum (or Aluminum Alloys)</w:t>
            </w:r>
          </w:p>
        </w:tc>
        <w:tc>
          <w:tcPr>
            <w:tcW w:w="3240" w:type="dxa"/>
            <w:vAlign w:val="center"/>
          </w:tcPr>
          <w:p w14:paraId="0BAECBDE" w14:textId="1F5C1DFD" w:rsidR="00654DEC" w:rsidRPr="00FD78D9" w:rsidRDefault="00F65C99" w:rsidP="00654DEC">
            <w:pPr>
              <w:jc w:val="center"/>
              <w:rPr>
                <w:sz w:val="20"/>
                <w:szCs w:val="20"/>
              </w:rPr>
            </w:pPr>
            <w:r>
              <w:t>3.4</w:t>
            </w:r>
            <w:r w:rsidR="001E21E8">
              <w:t>13</w:t>
            </w:r>
          </w:p>
        </w:tc>
      </w:tr>
      <w:tr w:rsidR="00654DEC" w14:paraId="611D7335" w14:textId="77777777" w:rsidTr="0014750C">
        <w:tc>
          <w:tcPr>
            <w:tcW w:w="2715" w:type="dxa"/>
            <w:shd w:val="clear" w:color="auto" w:fill="F2F2F2" w:themeFill="background1" w:themeFillShade="F2"/>
            <w:vAlign w:val="center"/>
          </w:tcPr>
          <w:p w14:paraId="2656EE08" w14:textId="58BFBCE9" w:rsidR="00654DEC" w:rsidRPr="001E21E8" w:rsidRDefault="00D43B38" w:rsidP="00654DEC">
            <w:pPr>
              <w:jc w:val="center"/>
              <w:rPr>
                <w:b/>
                <w:bCs/>
                <w:sz w:val="20"/>
                <w:szCs w:val="20"/>
              </w:rPr>
            </w:pPr>
            <w:r w:rsidRPr="001E21E8">
              <w:rPr>
                <w:b/>
                <w:bCs/>
              </w:rPr>
              <w:t>China</w:t>
            </w:r>
          </w:p>
        </w:tc>
        <w:tc>
          <w:tcPr>
            <w:tcW w:w="2860" w:type="dxa"/>
            <w:vAlign w:val="center"/>
          </w:tcPr>
          <w:p w14:paraId="6FF665F8" w14:textId="01249F25" w:rsidR="00654DEC" w:rsidRPr="00FD78D9" w:rsidRDefault="00864BF9" w:rsidP="00654DEC">
            <w:pPr>
              <w:jc w:val="center"/>
              <w:rPr>
                <w:sz w:val="20"/>
                <w:szCs w:val="20"/>
              </w:rPr>
            </w:pPr>
            <w:r w:rsidRPr="00864BF9">
              <w:t>Bars and Rods of Aluminum (or Aluminum Alloys)</w:t>
            </w:r>
          </w:p>
        </w:tc>
        <w:tc>
          <w:tcPr>
            <w:tcW w:w="3240" w:type="dxa"/>
            <w:vAlign w:val="center"/>
          </w:tcPr>
          <w:p w14:paraId="5AB2DCB8" w14:textId="71A64FA5" w:rsidR="00654DEC" w:rsidRPr="00FD78D9" w:rsidRDefault="00D43B38" w:rsidP="00654DEC">
            <w:pPr>
              <w:jc w:val="center"/>
              <w:rPr>
                <w:sz w:val="20"/>
                <w:szCs w:val="20"/>
              </w:rPr>
            </w:pPr>
            <w:r>
              <w:t>4.881</w:t>
            </w:r>
          </w:p>
        </w:tc>
      </w:tr>
    </w:tbl>
    <w:p w14:paraId="0062A20F" w14:textId="07401AF8" w:rsidR="00124797" w:rsidRDefault="00124797" w:rsidP="00E134A7"/>
    <w:p w14:paraId="76F01D98" w14:textId="2252D799" w:rsidR="0024537C" w:rsidRDefault="0024537C" w:rsidP="0024537C">
      <w:r>
        <w:t>Table 7 shows that default values for the same CBAM good can differ dramatically by country of origin. For aluminum bars and rods, the 2026 default value ranges from 1.41 tCO</w:t>
      </w:r>
      <w:r>
        <w:rPr>
          <w:vertAlign w:val="subscript"/>
        </w:rPr>
        <w:t>2</w:t>
      </w:r>
      <w:r>
        <w:t>e/t (Mexico) to 4.881 tCO</w:t>
      </w:r>
      <w:r>
        <w:rPr>
          <w:vertAlign w:val="subscript"/>
        </w:rPr>
        <w:t>2</w:t>
      </w:r>
      <w:r>
        <w:t>e/t (China), with the United States (2.258) and India (3.413) in between, more than a threefold spread for an otherwise comparable product. This variation can materially change a company’s reported specific embedded emissions (SEE) and therefore its CBAM certificate obligation for the same imported quantity.</w:t>
      </w:r>
    </w:p>
    <w:p w14:paraId="02F73909" w14:textId="36A76D44" w:rsidR="00D16DD6" w:rsidRDefault="00D16DD6" w:rsidP="001732FF">
      <w:pPr>
        <w:pStyle w:val="Heading1"/>
      </w:pPr>
      <w:bookmarkStart w:id="21" w:name="_Toc227708066"/>
      <w:r>
        <w:t>EU CBAM Resources</w:t>
      </w:r>
      <w:bookmarkEnd w:id="21"/>
    </w:p>
    <w:p w14:paraId="6BBB3B4F" w14:textId="77777777" w:rsidR="007626F3" w:rsidRDefault="007626F3" w:rsidP="007626F3">
      <w:pPr>
        <w:numPr>
          <w:ilvl w:val="0"/>
          <w:numId w:val="18"/>
        </w:numPr>
        <w:spacing w:line="254" w:lineRule="auto"/>
        <w:rPr>
          <w:lang w:eastAsia="en-US"/>
        </w:rPr>
      </w:pPr>
      <w:hyperlink r:id="rId21" w:history="1">
        <w:r>
          <w:rPr>
            <w:rStyle w:val="Hyperlink"/>
          </w:rPr>
          <w:t>The Carbon Border Adjustment Mechanism eLearning module</w:t>
        </w:r>
      </w:hyperlink>
      <w:r>
        <w:t xml:space="preserve"> </w:t>
      </w:r>
      <w:r>
        <w:rPr>
          <w:i/>
          <w:iCs/>
        </w:rPr>
        <w:t>Self-paced overview of CBAM requirements and reporting expectations.</w:t>
      </w:r>
    </w:p>
    <w:p w14:paraId="664743D2" w14:textId="77777777" w:rsidR="007626F3" w:rsidRDefault="007626F3" w:rsidP="007626F3">
      <w:pPr>
        <w:numPr>
          <w:ilvl w:val="0"/>
          <w:numId w:val="18"/>
        </w:numPr>
        <w:spacing w:line="254" w:lineRule="auto"/>
        <w:rPr>
          <w:lang w:eastAsia="en-US"/>
        </w:rPr>
      </w:pPr>
      <w:hyperlink r:id="rId22" w:history="1">
        <w:r>
          <w:rPr>
            <w:rStyle w:val="Hyperlink"/>
          </w:rPr>
          <w:t>EU CBAM Landing Page</w:t>
        </w:r>
      </w:hyperlink>
      <w:r>
        <w:t xml:space="preserve"> </w:t>
      </w:r>
      <w:r>
        <w:rPr>
          <w:i/>
          <w:iCs/>
        </w:rPr>
        <w:t>European Commission overview page with high-level CBAM background, scope, and key updates.</w:t>
      </w:r>
    </w:p>
    <w:p w14:paraId="45AA6A9E" w14:textId="77777777" w:rsidR="007626F3" w:rsidRDefault="007626F3" w:rsidP="007626F3">
      <w:pPr>
        <w:numPr>
          <w:ilvl w:val="0"/>
          <w:numId w:val="18"/>
        </w:numPr>
        <w:spacing w:line="254" w:lineRule="auto"/>
        <w:rPr>
          <w:lang w:eastAsia="en-US"/>
        </w:rPr>
      </w:pPr>
      <w:hyperlink r:id="rId23" w:history="1">
        <w:r>
          <w:rPr>
            <w:rStyle w:val="Hyperlink"/>
          </w:rPr>
          <w:t>Regulation (EU) 2023/956 CBAM Legal Text</w:t>
        </w:r>
      </w:hyperlink>
      <w:r>
        <w:t xml:space="preserve"> </w:t>
      </w:r>
      <w:r>
        <w:rPr>
          <w:i/>
          <w:iCs/>
        </w:rPr>
        <w:t>Authoritative CBAM regulation text describing scope, obligations, and timelines.</w:t>
      </w:r>
    </w:p>
    <w:p w14:paraId="25B1935C" w14:textId="77777777" w:rsidR="007626F3" w:rsidRDefault="007626F3" w:rsidP="007626F3">
      <w:pPr>
        <w:numPr>
          <w:ilvl w:val="0"/>
          <w:numId w:val="18"/>
        </w:numPr>
        <w:spacing w:line="254" w:lineRule="auto"/>
        <w:rPr>
          <w:lang w:eastAsia="en-US"/>
        </w:rPr>
      </w:pPr>
      <w:hyperlink r:id="rId24" w:history="1">
        <w:r>
          <w:rPr>
            <w:rStyle w:val="Hyperlink"/>
          </w:rPr>
          <w:t>Regulation (EU) 2023/1773 Implementation Regulation</w:t>
        </w:r>
      </w:hyperlink>
      <w:r>
        <w:t xml:space="preserve"> </w:t>
      </w:r>
      <w:r>
        <w:rPr>
          <w:i/>
          <w:iCs/>
        </w:rPr>
        <w:t>Implementing rules for the transitional period, including reporting methodology and default values (see Annex VIII).</w:t>
      </w:r>
    </w:p>
    <w:p w14:paraId="1ADD3C66" w14:textId="0DA0B877" w:rsidR="00D16DD6" w:rsidRPr="00D16DD6" w:rsidRDefault="001D2019" w:rsidP="00B90785">
      <w:pPr>
        <w:numPr>
          <w:ilvl w:val="1"/>
          <w:numId w:val="18"/>
        </w:numPr>
      </w:pPr>
      <w:r>
        <w:t>includes listed default values in Annex VIII</w:t>
      </w:r>
    </w:p>
    <w:p w14:paraId="69746F1D" w14:textId="77777777" w:rsidR="007626F3" w:rsidRDefault="007626F3" w:rsidP="007626F3">
      <w:pPr>
        <w:numPr>
          <w:ilvl w:val="0"/>
          <w:numId w:val="18"/>
        </w:numPr>
        <w:spacing w:line="254" w:lineRule="auto"/>
        <w:rPr>
          <w:lang w:eastAsia="en-US"/>
        </w:rPr>
      </w:pPr>
      <w:hyperlink r:id="rId25" w:history="1">
        <w:r>
          <w:rPr>
            <w:rStyle w:val="Hyperlink"/>
          </w:rPr>
          <w:t>CBAM Communication Template</w:t>
        </w:r>
      </w:hyperlink>
      <w:r>
        <w:t xml:space="preserve"> </w:t>
      </w:r>
      <w:r>
        <w:rPr>
          <w:i/>
          <w:iCs/>
        </w:rPr>
        <w:t>Sample outreach language importers can use to request CBAM emissions data from suppliers.</w:t>
      </w:r>
    </w:p>
    <w:p w14:paraId="38D94F23" w14:textId="77777777" w:rsidR="007626F3" w:rsidRDefault="007626F3" w:rsidP="007626F3">
      <w:pPr>
        <w:numPr>
          <w:ilvl w:val="0"/>
          <w:numId w:val="18"/>
        </w:numPr>
        <w:spacing w:line="254" w:lineRule="auto"/>
        <w:rPr>
          <w:lang w:eastAsia="en-US"/>
        </w:rPr>
      </w:pPr>
      <w:hyperlink r:id="rId26" w:history="1">
        <w:r>
          <w:rPr>
            <w:rStyle w:val="Hyperlink"/>
          </w:rPr>
          <w:t>Guidance Document on CBAM Implementation for Importers of Goods into the EU</w:t>
        </w:r>
      </w:hyperlink>
      <w:r>
        <w:t xml:space="preserve"> </w:t>
      </w:r>
      <w:r>
        <w:rPr>
          <w:i/>
          <w:iCs/>
        </w:rPr>
        <w:t>Step-by-step Commission guidance for importers on transitional reporting, including practical examples and FAQs references.</w:t>
      </w:r>
    </w:p>
    <w:p w14:paraId="171B1C8C" w14:textId="25ED48AE" w:rsidR="00D16DD6" w:rsidRPr="00D16DD6" w:rsidRDefault="00B90785" w:rsidP="00B90785">
      <w:pPr>
        <w:numPr>
          <w:ilvl w:val="1"/>
          <w:numId w:val="18"/>
        </w:numPr>
      </w:pPr>
      <w:r w:rsidRPr="00D16DD6">
        <w:t>(See section 5.6, Pg. 43/98</w:t>
      </w:r>
      <w:r>
        <w:t>)</w:t>
      </w:r>
    </w:p>
    <w:p w14:paraId="64E5C9F1" w14:textId="77777777" w:rsidR="007626F3" w:rsidRDefault="007626F3" w:rsidP="007626F3">
      <w:pPr>
        <w:numPr>
          <w:ilvl w:val="0"/>
          <w:numId w:val="18"/>
        </w:numPr>
        <w:spacing w:line="254" w:lineRule="auto"/>
        <w:rPr>
          <w:lang w:eastAsia="en-US"/>
        </w:rPr>
      </w:pPr>
      <w:hyperlink r:id="rId27" w:history="1">
        <w:r>
          <w:rPr>
            <w:rStyle w:val="Hyperlink"/>
          </w:rPr>
          <w:t>EU CBAM FAQ</w:t>
        </w:r>
      </w:hyperlink>
      <w:r>
        <w:t xml:space="preserve"> </w:t>
      </w:r>
      <w:r>
        <w:rPr>
          <w:i/>
          <w:iCs/>
        </w:rPr>
        <w:t>Consolidated Q&amp;A from the European Commission addressing common CBAM compliance questions.</w:t>
      </w:r>
    </w:p>
    <w:p w14:paraId="4D7FF293" w14:textId="77777777" w:rsidR="007626F3" w:rsidRDefault="007626F3" w:rsidP="007626F3">
      <w:pPr>
        <w:numPr>
          <w:ilvl w:val="0"/>
          <w:numId w:val="18"/>
        </w:numPr>
        <w:spacing w:line="480" w:lineRule="auto"/>
        <w:rPr>
          <w:lang w:eastAsia="en-US"/>
        </w:rPr>
      </w:pPr>
      <w:hyperlink r:id="rId28" w:history="1">
        <w:r>
          <w:rPr>
            <w:rStyle w:val="Hyperlink"/>
          </w:rPr>
          <w:t>National Indirect Emissions factors</w:t>
        </w:r>
      </w:hyperlink>
      <w:r>
        <w:t xml:space="preserve"> </w:t>
      </w:r>
      <w:r>
        <w:rPr>
          <w:i/>
          <w:iCs/>
        </w:rPr>
        <w:t>Reference dataset for country-level electricity carbon intensity that can support indirect emissions calculations.</w:t>
      </w:r>
    </w:p>
    <w:p w14:paraId="7C9A2839" w14:textId="77777777" w:rsidR="007626F3" w:rsidRDefault="007626F3" w:rsidP="007626F3">
      <w:pPr>
        <w:pStyle w:val="ListParagraph"/>
        <w:numPr>
          <w:ilvl w:val="0"/>
          <w:numId w:val="18"/>
        </w:numPr>
        <w:spacing w:line="480" w:lineRule="auto"/>
        <w:contextualSpacing w:val="0"/>
        <w:rPr>
          <w:lang w:eastAsia="en-US"/>
        </w:rPr>
      </w:pPr>
      <w:hyperlink r:id="rId29" w:history="1">
        <w:r>
          <w:rPr>
            <w:rStyle w:val="Hyperlink"/>
          </w:rPr>
          <w:t>Regional Indirect Emissions factors from US EPA</w:t>
        </w:r>
      </w:hyperlink>
      <w:r>
        <w:t xml:space="preserve"> </w:t>
      </w:r>
      <w:r>
        <w:rPr>
          <w:i/>
          <w:iCs/>
        </w:rPr>
        <w:t>US EPA emission factors reference for estimating emissions from fuels and electricity by region.</w:t>
      </w:r>
    </w:p>
    <w:p w14:paraId="796966E0" w14:textId="20CE99E4" w:rsidR="007626F3" w:rsidRDefault="001862AA" w:rsidP="007626F3">
      <w:pPr>
        <w:pStyle w:val="ListParagraph"/>
        <w:numPr>
          <w:ilvl w:val="0"/>
          <w:numId w:val="18"/>
        </w:numPr>
        <w:spacing w:line="480" w:lineRule="auto"/>
        <w:contextualSpacing w:val="0"/>
        <w:rPr>
          <w:lang w:eastAsia="en-US"/>
        </w:rPr>
      </w:pPr>
      <w:hyperlink r:id="rId30" w:history="1">
        <w:r>
          <w:rPr>
            <w:rStyle w:val="Hyperlink"/>
          </w:rPr>
          <w:t>Carbon Intelligence</w:t>
        </w:r>
      </w:hyperlink>
      <w:r w:rsidR="007626F3">
        <w:t xml:space="preserve"> </w:t>
      </w:r>
      <w:r w:rsidR="007626F3">
        <w:rPr>
          <w:i/>
          <w:iCs/>
        </w:rPr>
        <w:t>Third-party emissions factor database that may help benchmark or screen parts when primary data is unavailable.</w:t>
      </w:r>
    </w:p>
    <w:p w14:paraId="52A57E18" w14:textId="77777777" w:rsidR="007626F3" w:rsidRDefault="007626F3" w:rsidP="007626F3">
      <w:pPr>
        <w:pStyle w:val="ListParagraph"/>
        <w:numPr>
          <w:ilvl w:val="0"/>
          <w:numId w:val="18"/>
        </w:numPr>
        <w:spacing w:line="480" w:lineRule="auto"/>
        <w:contextualSpacing w:val="0"/>
        <w:rPr>
          <w:lang w:eastAsia="en-US"/>
        </w:rPr>
      </w:pPr>
      <w:hyperlink r:id="rId31" w:history="1">
        <w:r>
          <w:rPr>
            <w:rStyle w:val="Hyperlink"/>
          </w:rPr>
          <w:t>Sustainability Indicators Report 2025 - worldsteel.org</w:t>
        </w:r>
      </w:hyperlink>
      <w:r>
        <w:t xml:space="preserve"> </w:t>
      </w:r>
      <w:r>
        <w:rPr>
          <w:i/>
          <w:iCs/>
        </w:rPr>
        <w:t>Industry benchmarking for steel sector sustainability metrics, including historical carbon intensity context.</w:t>
      </w:r>
    </w:p>
    <w:p w14:paraId="2E2B42FC" w14:textId="77777777" w:rsidR="00B90785" w:rsidRPr="00D16DD6" w:rsidRDefault="00B90785" w:rsidP="00B90785">
      <w:pPr>
        <w:ind w:left="720"/>
      </w:pPr>
    </w:p>
    <w:p w14:paraId="38A536BB" w14:textId="77777777" w:rsidR="00D16DD6" w:rsidRPr="00D16DD6" w:rsidRDefault="00D16DD6" w:rsidP="00D16DD6"/>
    <w:sectPr w:rsidR="00D16DD6" w:rsidRPr="00D16DD6" w:rsidSect="00591FE5">
      <w:headerReference w:type="default" r:id="rId32"/>
      <w:footerReference w:type="default" r:id="rId33"/>
      <w:footerReference w:type="first" r:id="rId3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145F" w14:textId="77777777" w:rsidR="002A5271" w:rsidRDefault="002A5271" w:rsidP="00D1162C">
      <w:pPr>
        <w:spacing w:before="0" w:after="0" w:line="240" w:lineRule="auto"/>
      </w:pPr>
      <w:r>
        <w:separator/>
      </w:r>
    </w:p>
  </w:endnote>
  <w:endnote w:type="continuationSeparator" w:id="0">
    <w:p w14:paraId="01531C5D" w14:textId="77777777" w:rsidR="002A5271" w:rsidRDefault="002A5271" w:rsidP="00D116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0740"/>
      <w:docPartObj>
        <w:docPartGallery w:val="Page Numbers (Bottom of Page)"/>
        <w:docPartUnique/>
      </w:docPartObj>
    </w:sdtPr>
    <w:sdtEndPr>
      <w:rPr>
        <w:noProof/>
      </w:rPr>
    </w:sdtEndPr>
    <w:sdtContent>
      <w:p w14:paraId="0735F51B" w14:textId="08354C74" w:rsidR="00AB676F" w:rsidRDefault="00AB67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F2666F" w14:textId="7B726615" w:rsidR="00B3067E" w:rsidRDefault="00B3067E" w:rsidP="00B3067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F30E" w14:textId="72EA64BD" w:rsidR="00D10A47" w:rsidRDefault="002A5BE8" w:rsidP="002A5BE8">
    <w:pPr>
      <w:pStyle w:val="Footer"/>
      <w:tabs>
        <w:tab w:val="left" w:pos="4043"/>
      </w:tabs>
      <w:jc w:val="center"/>
    </w:pPr>
    <w:r>
      <w:t>Version 1.</w:t>
    </w:r>
    <w:r w:rsidR="00A05A66">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A82D" w14:textId="77777777" w:rsidR="002A5271" w:rsidRDefault="002A5271" w:rsidP="00D1162C">
      <w:pPr>
        <w:spacing w:before="0" w:after="0" w:line="240" w:lineRule="auto"/>
      </w:pPr>
      <w:r>
        <w:separator/>
      </w:r>
    </w:p>
  </w:footnote>
  <w:footnote w:type="continuationSeparator" w:id="0">
    <w:p w14:paraId="7ED7E6EE" w14:textId="77777777" w:rsidR="002A5271" w:rsidRDefault="002A5271" w:rsidP="00D1162C">
      <w:pPr>
        <w:spacing w:before="0" w:after="0" w:line="240" w:lineRule="auto"/>
      </w:pPr>
      <w:r>
        <w:continuationSeparator/>
      </w:r>
    </w:p>
  </w:footnote>
  <w:footnote w:id="1">
    <w:p w14:paraId="16050549" w14:textId="6EDF0D83" w:rsidR="00896CC2" w:rsidRDefault="00896CC2">
      <w:pPr>
        <w:pStyle w:val="FootnoteText"/>
      </w:pPr>
      <w:r>
        <w:rPr>
          <w:rStyle w:val="FootnoteReference"/>
        </w:rPr>
        <w:footnoteRef/>
      </w:r>
      <w:r>
        <w:t xml:space="preserve"> </w:t>
      </w:r>
      <w:hyperlink r:id="rId1" w:history="1">
        <w:r w:rsidR="00A340F2" w:rsidRPr="00A340F2">
          <w:rPr>
            <w:rStyle w:val="Hyperlink"/>
            <w:sz w:val="16"/>
            <w:szCs w:val="16"/>
          </w:rPr>
          <w:t>https://eur-lex.europa.eu/eli/reg/2023/956/oj</w:t>
        </w:r>
      </w:hyperlink>
      <w:r w:rsidR="00A340F2">
        <w:t xml:space="preserve"> </w:t>
      </w:r>
    </w:p>
  </w:footnote>
  <w:footnote w:id="2">
    <w:p w14:paraId="63C732BC" w14:textId="772BCAA9" w:rsidR="00464429" w:rsidRDefault="00464429">
      <w:pPr>
        <w:pStyle w:val="FootnoteText"/>
      </w:pPr>
      <w:r>
        <w:rPr>
          <w:rStyle w:val="FootnoteReference"/>
        </w:rPr>
        <w:footnoteRef/>
      </w:r>
      <w:r>
        <w:t xml:space="preserve"> </w:t>
      </w:r>
      <w:hyperlink r:id="rId2" w:history="1">
        <w:r w:rsidRPr="00464429">
          <w:rPr>
            <w:rStyle w:val="Hyperlink"/>
            <w:sz w:val="16"/>
            <w:szCs w:val="16"/>
          </w:rPr>
          <w:t>https://eur-lex.europa.eu/eli/reg_impl/2023/1773/oj</w:t>
        </w:r>
      </w:hyperlink>
      <w:r w:rsidRPr="00464429">
        <w:rPr>
          <w:sz w:val="16"/>
          <w:szCs w:val="16"/>
        </w:rPr>
        <w:t xml:space="preserve"> </w:t>
      </w:r>
    </w:p>
  </w:footnote>
  <w:footnote w:id="3">
    <w:p w14:paraId="49168DFD" w14:textId="54E29950" w:rsidR="00D61609" w:rsidRDefault="00D61609">
      <w:pPr>
        <w:pStyle w:val="FootnoteText"/>
      </w:pPr>
      <w:r>
        <w:rPr>
          <w:rStyle w:val="FootnoteReference"/>
        </w:rPr>
        <w:footnoteRef/>
      </w:r>
      <w:r>
        <w:t xml:space="preserve"> </w:t>
      </w:r>
      <w:hyperlink r:id="rId3" w:history="1">
        <w:r w:rsidRPr="00D61609">
          <w:rPr>
            <w:rStyle w:val="Hyperlink"/>
            <w:sz w:val="16"/>
            <w:szCs w:val="16"/>
          </w:rPr>
          <w:t>https://eur-lex.europa.eu/eli/reg/2023/956/oj</w:t>
        </w:r>
      </w:hyperlink>
      <w:r w:rsidRPr="00D61609">
        <w:rPr>
          <w:sz w:val="16"/>
          <w:szCs w:val="16"/>
        </w:rPr>
        <w:t xml:space="preserve"> </w:t>
      </w:r>
    </w:p>
  </w:footnote>
  <w:footnote w:id="4">
    <w:p w14:paraId="3ED653E3" w14:textId="00F69A07" w:rsidR="00A13C89" w:rsidRDefault="00A13C89">
      <w:pPr>
        <w:pStyle w:val="FootnoteText"/>
      </w:pPr>
      <w:r>
        <w:rPr>
          <w:rStyle w:val="FootnoteReference"/>
        </w:rPr>
        <w:footnoteRef/>
      </w:r>
      <w:r>
        <w:t xml:space="preserve"> </w:t>
      </w:r>
      <w:hyperlink r:id="rId4" w:anchor="default-values-and-benchmarks-definitive-period" w:history="1">
        <w:r w:rsidRPr="00A13C89">
          <w:rPr>
            <w:rStyle w:val="Hyperlink"/>
          </w:rPr>
          <w:t>CBAM Legislation and Guidance - Taxation and Customs Union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A822" w14:textId="2F2F621F" w:rsidR="00EC6825" w:rsidRDefault="00EC6825" w:rsidP="00EC68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78E"/>
    <w:multiLevelType w:val="multilevel"/>
    <w:tmpl w:val="F3A0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C68B9"/>
    <w:multiLevelType w:val="multilevel"/>
    <w:tmpl w:val="B760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4658B"/>
    <w:multiLevelType w:val="hybridMultilevel"/>
    <w:tmpl w:val="5C823DCC"/>
    <w:lvl w:ilvl="0" w:tplc="395A9AC8">
      <w:start w:val="2015"/>
      <w:numFmt w:val="bullet"/>
      <w:lvlText w:val="-"/>
      <w:lvlJc w:val="left"/>
      <w:pPr>
        <w:ind w:left="1080" w:hanging="36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97690F"/>
    <w:multiLevelType w:val="hybridMultilevel"/>
    <w:tmpl w:val="EF342BCA"/>
    <w:lvl w:ilvl="0" w:tplc="04090017">
      <w:start w:val="1"/>
      <w:numFmt w:val="lowerLetter"/>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A65FA"/>
    <w:multiLevelType w:val="hybridMultilevel"/>
    <w:tmpl w:val="948A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37C36"/>
    <w:multiLevelType w:val="hybridMultilevel"/>
    <w:tmpl w:val="482E9EBE"/>
    <w:lvl w:ilvl="0" w:tplc="90301BDA">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775EF"/>
    <w:multiLevelType w:val="multilevel"/>
    <w:tmpl w:val="44F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C49C9"/>
    <w:multiLevelType w:val="multilevel"/>
    <w:tmpl w:val="C424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A4F47"/>
    <w:multiLevelType w:val="hybridMultilevel"/>
    <w:tmpl w:val="3392B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393CED"/>
    <w:multiLevelType w:val="multilevel"/>
    <w:tmpl w:val="3AB0F7F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58B4997"/>
    <w:multiLevelType w:val="hybridMultilevel"/>
    <w:tmpl w:val="EAE6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72B4A"/>
    <w:multiLevelType w:val="hybridMultilevel"/>
    <w:tmpl w:val="702C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91BA7"/>
    <w:multiLevelType w:val="hybridMultilevel"/>
    <w:tmpl w:val="5CCA4BC4"/>
    <w:lvl w:ilvl="0" w:tplc="7602954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03EE2"/>
    <w:multiLevelType w:val="hybridMultilevel"/>
    <w:tmpl w:val="D5965FCC"/>
    <w:lvl w:ilvl="0" w:tplc="8B40875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B20B0B"/>
    <w:multiLevelType w:val="multilevel"/>
    <w:tmpl w:val="A966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C7632"/>
    <w:multiLevelType w:val="hybridMultilevel"/>
    <w:tmpl w:val="4748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42BEB"/>
    <w:multiLevelType w:val="hybridMultilevel"/>
    <w:tmpl w:val="6FB2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02D3C"/>
    <w:multiLevelType w:val="hybridMultilevel"/>
    <w:tmpl w:val="77CC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F10B2"/>
    <w:multiLevelType w:val="hybridMultilevel"/>
    <w:tmpl w:val="D23E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52D55"/>
    <w:multiLevelType w:val="hybridMultilevel"/>
    <w:tmpl w:val="60C28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D4874"/>
    <w:multiLevelType w:val="multilevel"/>
    <w:tmpl w:val="7F6C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4534B"/>
    <w:multiLevelType w:val="multilevel"/>
    <w:tmpl w:val="61E4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FA7368"/>
    <w:multiLevelType w:val="hybridMultilevel"/>
    <w:tmpl w:val="3B664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D630F"/>
    <w:multiLevelType w:val="multilevel"/>
    <w:tmpl w:val="E35E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341B2C"/>
    <w:multiLevelType w:val="hybridMultilevel"/>
    <w:tmpl w:val="41C81B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A366E1"/>
    <w:multiLevelType w:val="hybridMultilevel"/>
    <w:tmpl w:val="3FC859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1956A0E"/>
    <w:multiLevelType w:val="hybridMultilevel"/>
    <w:tmpl w:val="19F0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35951"/>
    <w:multiLevelType w:val="multilevel"/>
    <w:tmpl w:val="78446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345F0"/>
    <w:multiLevelType w:val="multilevel"/>
    <w:tmpl w:val="86B6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C52E7E"/>
    <w:multiLevelType w:val="hybridMultilevel"/>
    <w:tmpl w:val="732E3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FF2105"/>
    <w:multiLevelType w:val="hybridMultilevel"/>
    <w:tmpl w:val="3606F8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766F8E"/>
    <w:multiLevelType w:val="multilevel"/>
    <w:tmpl w:val="CAAA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1864F4"/>
    <w:multiLevelType w:val="multilevel"/>
    <w:tmpl w:val="645A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8C1AA1"/>
    <w:multiLevelType w:val="multilevel"/>
    <w:tmpl w:val="A77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8842E3"/>
    <w:multiLevelType w:val="multilevel"/>
    <w:tmpl w:val="A748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62F46"/>
    <w:multiLevelType w:val="multilevel"/>
    <w:tmpl w:val="A4B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B7690C"/>
    <w:multiLevelType w:val="hybridMultilevel"/>
    <w:tmpl w:val="5D32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67A50"/>
    <w:multiLevelType w:val="hybridMultilevel"/>
    <w:tmpl w:val="278C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FB7F38"/>
    <w:multiLevelType w:val="hybridMultilevel"/>
    <w:tmpl w:val="B6B0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947552">
    <w:abstractNumId w:val="15"/>
  </w:num>
  <w:num w:numId="2" w16cid:durableId="1723868470">
    <w:abstractNumId w:val="12"/>
  </w:num>
  <w:num w:numId="3" w16cid:durableId="1163592317">
    <w:abstractNumId w:val="5"/>
  </w:num>
  <w:num w:numId="4" w16cid:durableId="1767460396">
    <w:abstractNumId w:val="29"/>
  </w:num>
  <w:num w:numId="5" w16cid:durableId="279991539">
    <w:abstractNumId w:val="13"/>
  </w:num>
  <w:num w:numId="6" w16cid:durableId="1830363794">
    <w:abstractNumId w:val="25"/>
  </w:num>
  <w:num w:numId="7" w16cid:durableId="166336237">
    <w:abstractNumId w:val="3"/>
  </w:num>
  <w:num w:numId="8" w16cid:durableId="306007957">
    <w:abstractNumId w:val="24"/>
  </w:num>
  <w:num w:numId="9" w16cid:durableId="1875850072">
    <w:abstractNumId w:val="8"/>
  </w:num>
  <w:num w:numId="10" w16cid:durableId="1398943264">
    <w:abstractNumId w:val="22"/>
  </w:num>
  <w:num w:numId="11" w16cid:durableId="146286222">
    <w:abstractNumId w:val="2"/>
  </w:num>
  <w:num w:numId="12" w16cid:durableId="1682659335">
    <w:abstractNumId w:val="9"/>
    <w:lvlOverride w:ilvl="0">
      <w:startOverride w:val="1"/>
    </w:lvlOverride>
  </w:num>
  <w:num w:numId="13" w16cid:durableId="939531020">
    <w:abstractNumId w:val="16"/>
  </w:num>
  <w:num w:numId="14" w16cid:durableId="115225940">
    <w:abstractNumId w:val="19"/>
  </w:num>
  <w:num w:numId="15" w16cid:durableId="844781289">
    <w:abstractNumId w:val="17"/>
  </w:num>
  <w:num w:numId="16" w16cid:durableId="1125779029">
    <w:abstractNumId w:val="30"/>
  </w:num>
  <w:num w:numId="17" w16cid:durableId="2119400321">
    <w:abstractNumId w:val="4"/>
  </w:num>
  <w:num w:numId="18" w16cid:durableId="623537509">
    <w:abstractNumId w:val="35"/>
  </w:num>
  <w:num w:numId="19" w16cid:durableId="848712757">
    <w:abstractNumId w:val="27"/>
  </w:num>
  <w:num w:numId="20" w16cid:durableId="678316341">
    <w:abstractNumId w:val="7"/>
  </w:num>
  <w:num w:numId="21" w16cid:durableId="1349066230">
    <w:abstractNumId w:val="34"/>
  </w:num>
  <w:num w:numId="22" w16cid:durableId="179854295">
    <w:abstractNumId w:val="20"/>
  </w:num>
  <w:num w:numId="23" w16cid:durableId="1035811669">
    <w:abstractNumId w:val="28"/>
  </w:num>
  <w:num w:numId="24" w16cid:durableId="900362154">
    <w:abstractNumId w:val="0"/>
  </w:num>
  <w:num w:numId="25" w16cid:durableId="1682196995">
    <w:abstractNumId w:val="33"/>
  </w:num>
  <w:num w:numId="26" w16cid:durableId="773017696">
    <w:abstractNumId w:val="31"/>
  </w:num>
  <w:num w:numId="27" w16cid:durableId="424309782">
    <w:abstractNumId w:val="6"/>
  </w:num>
  <w:num w:numId="28" w16cid:durableId="2115783614">
    <w:abstractNumId w:val="14"/>
  </w:num>
  <w:num w:numId="29" w16cid:durableId="506988926">
    <w:abstractNumId w:val="21"/>
  </w:num>
  <w:num w:numId="30" w16cid:durableId="535193030">
    <w:abstractNumId w:val="32"/>
  </w:num>
  <w:num w:numId="31" w16cid:durableId="1070234219">
    <w:abstractNumId w:val="1"/>
  </w:num>
  <w:num w:numId="32" w16cid:durableId="985353005">
    <w:abstractNumId w:val="18"/>
  </w:num>
  <w:num w:numId="33" w16cid:durableId="1515729901">
    <w:abstractNumId w:val="23"/>
  </w:num>
  <w:num w:numId="34" w16cid:durableId="273368414">
    <w:abstractNumId w:val="37"/>
  </w:num>
  <w:num w:numId="35" w16cid:durableId="1581911715">
    <w:abstractNumId w:val="11"/>
  </w:num>
  <w:num w:numId="36" w16cid:durableId="1537310381">
    <w:abstractNumId w:val="36"/>
  </w:num>
  <w:num w:numId="37" w16cid:durableId="1365057083">
    <w:abstractNumId w:val="38"/>
  </w:num>
  <w:num w:numId="38" w16cid:durableId="1120875614">
    <w:abstractNumId w:val="10"/>
  </w:num>
  <w:num w:numId="39" w16cid:durableId="18093493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1D"/>
    <w:rsid w:val="000013A7"/>
    <w:rsid w:val="00001DB1"/>
    <w:rsid w:val="0000283E"/>
    <w:rsid w:val="000062A1"/>
    <w:rsid w:val="00010841"/>
    <w:rsid w:val="000108BD"/>
    <w:rsid w:val="000112CB"/>
    <w:rsid w:val="000124A5"/>
    <w:rsid w:val="00012C63"/>
    <w:rsid w:val="000132D4"/>
    <w:rsid w:val="00014677"/>
    <w:rsid w:val="00014C99"/>
    <w:rsid w:val="00015EA6"/>
    <w:rsid w:val="00015FB9"/>
    <w:rsid w:val="00016F96"/>
    <w:rsid w:val="00017A4B"/>
    <w:rsid w:val="00020198"/>
    <w:rsid w:val="00020CB6"/>
    <w:rsid w:val="00022A74"/>
    <w:rsid w:val="00024639"/>
    <w:rsid w:val="0002707D"/>
    <w:rsid w:val="00027533"/>
    <w:rsid w:val="00027565"/>
    <w:rsid w:val="00030B62"/>
    <w:rsid w:val="000340E4"/>
    <w:rsid w:val="000352C4"/>
    <w:rsid w:val="00036626"/>
    <w:rsid w:val="00036BFE"/>
    <w:rsid w:val="000414E0"/>
    <w:rsid w:val="000428DB"/>
    <w:rsid w:val="00044F98"/>
    <w:rsid w:val="00046DDA"/>
    <w:rsid w:val="000503DC"/>
    <w:rsid w:val="00050A40"/>
    <w:rsid w:val="0005106E"/>
    <w:rsid w:val="00051E31"/>
    <w:rsid w:val="00052145"/>
    <w:rsid w:val="000527BD"/>
    <w:rsid w:val="000646B8"/>
    <w:rsid w:val="000660B2"/>
    <w:rsid w:val="000676DC"/>
    <w:rsid w:val="000729E9"/>
    <w:rsid w:val="000735DD"/>
    <w:rsid w:val="000738E7"/>
    <w:rsid w:val="00074C12"/>
    <w:rsid w:val="00074D3D"/>
    <w:rsid w:val="00076B75"/>
    <w:rsid w:val="00077CEC"/>
    <w:rsid w:val="00085134"/>
    <w:rsid w:val="0008705B"/>
    <w:rsid w:val="0009028B"/>
    <w:rsid w:val="0009056E"/>
    <w:rsid w:val="00094E29"/>
    <w:rsid w:val="000953B7"/>
    <w:rsid w:val="000955BE"/>
    <w:rsid w:val="000A066E"/>
    <w:rsid w:val="000A1FAD"/>
    <w:rsid w:val="000A4239"/>
    <w:rsid w:val="000A49F8"/>
    <w:rsid w:val="000A6953"/>
    <w:rsid w:val="000A6D3A"/>
    <w:rsid w:val="000B1825"/>
    <w:rsid w:val="000B1B70"/>
    <w:rsid w:val="000B203D"/>
    <w:rsid w:val="000B4312"/>
    <w:rsid w:val="000B56CE"/>
    <w:rsid w:val="000B5A67"/>
    <w:rsid w:val="000B71B6"/>
    <w:rsid w:val="000C0DAF"/>
    <w:rsid w:val="000C227C"/>
    <w:rsid w:val="000C2366"/>
    <w:rsid w:val="000C62C7"/>
    <w:rsid w:val="000C636B"/>
    <w:rsid w:val="000C6732"/>
    <w:rsid w:val="000D080D"/>
    <w:rsid w:val="000D487F"/>
    <w:rsid w:val="000D7167"/>
    <w:rsid w:val="000E0B01"/>
    <w:rsid w:val="000E11CE"/>
    <w:rsid w:val="000E30D3"/>
    <w:rsid w:val="000E4F92"/>
    <w:rsid w:val="000F195D"/>
    <w:rsid w:val="000F1D31"/>
    <w:rsid w:val="000F4C01"/>
    <w:rsid w:val="000F5762"/>
    <w:rsid w:val="000F5CEC"/>
    <w:rsid w:val="000F621E"/>
    <w:rsid w:val="000F6987"/>
    <w:rsid w:val="000F753B"/>
    <w:rsid w:val="000F7DF5"/>
    <w:rsid w:val="00101EAB"/>
    <w:rsid w:val="00103F13"/>
    <w:rsid w:val="0010707A"/>
    <w:rsid w:val="00107753"/>
    <w:rsid w:val="00110374"/>
    <w:rsid w:val="00110A1E"/>
    <w:rsid w:val="00111281"/>
    <w:rsid w:val="0011172B"/>
    <w:rsid w:val="00111D15"/>
    <w:rsid w:val="001151A9"/>
    <w:rsid w:val="00115A15"/>
    <w:rsid w:val="00117E7C"/>
    <w:rsid w:val="001200C6"/>
    <w:rsid w:val="00120B11"/>
    <w:rsid w:val="00121D2C"/>
    <w:rsid w:val="00122C34"/>
    <w:rsid w:val="00124223"/>
    <w:rsid w:val="00124797"/>
    <w:rsid w:val="00124E7F"/>
    <w:rsid w:val="001309CD"/>
    <w:rsid w:val="001314C0"/>
    <w:rsid w:val="00133701"/>
    <w:rsid w:val="00134C2F"/>
    <w:rsid w:val="00136AF0"/>
    <w:rsid w:val="001372C9"/>
    <w:rsid w:val="0013785E"/>
    <w:rsid w:val="00137C95"/>
    <w:rsid w:val="00142A4A"/>
    <w:rsid w:val="00145775"/>
    <w:rsid w:val="00145FAF"/>
    <w:rsid w:val="0014750C"/>
    <w:rsid w:val="00147EFF"/>
    <w:rsid w:val="00150B6D"/>
    <w:rsid w:val="001537B4"/>
    <w:rsid w:val="00153CDD"/>
    <w:rsid w:val="00154068"/>
    <w:rsid w:val="001552B3"/>
    <w:rsid w:val="00155895"/>
    <w:rsid w:val="00155A90"/>
    <w:rsid w:val="001611A9"/>
    <w:rsid w:val="001620E2"/>
    <w:rsid w:val="001621A4"/>
    <w:rsid w:val="00162DC9"/>
    <w:rsid w:val="001639F0"/>
    <w:rsid w:val="0016442C"/>
    <w:rsid w:val="00165BA0"/>
    <w:rsid w:val="00165D0D"/>
    <w:rsid w:val="001679B8"/>
    <w:rsid w:val="001732FF"/>
    <w:rsid w:val="00173681"/>
    <w:rsid w:val="0017468C"/>
    <w:rsid w:val="001748FF"/>
    <w:rsid w:val="0017495B"/>
    <w:rsid w:val="001775BD"/>
    <w:rsid w:val="00180701"/>
    <w:rsid w:val="00180FA9"/>
    <w:rsid w:val="00184630"/>
    <w:rsid w:val="001849CB"/>
    <w:rsid w:val="001862AA"/>
    <w:rsid w:val="00187E82"/>
    <w:rsid w:val="00191D14"/>
    <w:rsid w:val="001930B7"/>
    <w:rsid w:val="00194F7B"/>
    <w:rsid w:val="00197C5A"/>
    <w:rsid w:val="001A1B7C"/>
    <w:rsid w:val="001A2369"/>
    <w:rsid w:val="001A367B"/>
    <w:rsid w:val="001A539B"/>
    <w:rsid w:val="001A6808"/>
    <w:rsid w:val="001A7C85"/>
    <w:rsid w:val="001B08F7"/>
    <w:rsid w:val="001B35BF"/>
    <w:rsid w:val="001B4799"/>
    <w:rsid w:val="001B480A"/>
    <w:rsid w:val="001B4B78"/>
    <w:rsid w:val="001B515D"/>
    <w:rsid w:val="001B70E0"/>
    <w:rsid w:val="001C082B"/>
    <w:rsid w:val="001C1490"/>
    <w:rsid w:val="001C16E2"/>
    <w:rsid w:val="001C23E1"/>
    <w:rsid w:val="001C39AF"/>
    <w:rsid w:val="001C4390"/>
    <w:rsid w:val="001C7465"/>
    <w:rsid w:val="001C7C3D"/>
    <w:rsid w:val="001D0DC8"/>
    <w:rsid w:val="001D1377"/>
    <w:rsid w:val="001D1B6C"/>
    <w:rsid w:val="001D2019"/>
    <w:rsid w:val="001D3637"/>
    <w:rsid w:val="001D474D"/>
    <w:rsid w:val="001D4AEC"/>
    <w:rsid w:val="001D6691"/>
    <w:rsid w:val="001D68FF"/>
    <w:rsid w:val="001D7AAE"/>
    <w:rsid w:val="001E1DDD"/>
    <w:rsid w:val="001E21E8"/>
    <w:rsid w:val="001E2353"/>
    <w:rsid w:val="001E275E"/>
    <w:rsid w:val="001E2BF4"/>
    <w:rsid w:val="001E3616"/>
    <w:rsid w:val="001E3F9E"/>
    <w:rsid w:val="001E5A47"/>
    <w:rsid w:val="001E7762"/>
    <w:rsid w:val="001F120D"/>
    <w:rsid w:val="001F1CCE"/>
    <w:rsid w:val="001F390C"/>
    <w:rsid w:val="001F4058"/>
    <w:rsid w:val="001F7139"/>
    <w:rsid w:val="0020002C"/>
    <w:rsid w:val="00200ADC"/>
    <w:rsid w:val="002023C7"/>
    <w:rsid w:val="00205406"/>
    <w:rsid w:val="00206D40"/>
    <w:rsid w:val="002100FB"/>
    <w:rsid w:val="00212F97"/>
    <w:rsid w:val="0021303C"/>
    <w:rsid w:val="0021502C"/>
    <w:rsid w:val="00216597"/>
    <w:rsid w:val="00220093"/>
    <w:rsid w:val="002221E7"/>
    <w:rsid w:val="00225852"/>
    <w:rsid w:val="0022593B"/>
    <w:rsid w:val="002273E6"/>
    <w:rsid w:val="0022743F"/>
    <w:rsid w:val="002338F3"/>
    <w:rsid w:val="00234C39"/>
    <w:rsid w:val="00234C9C"/>
    <w:rsid w:val="00236626"/>
    <w:rsid w:val="00237DBB"/>
    <w:rsid w:val="00240254"/>
    <w:rsid w:val="002438B4"/>
    <w:rsid w:val="0024473C"/>
    <w:rsid w:val="00244D2A"/>
    <w:rsid w:val="0024537C"/>
    <w:rsid w:val="00246EA0"/>
    <w:rsid w:val="00251BB0"/>
    <w:rsid w:val="002529EE"/>
    <w:rsid w:val="0025387E"/>
    <w:rsid w:val="00253D58"/>
    <w:rsid w:val="0025511F"/>
    <w:rsid w:val="002551A4"/>
    <w:rsid w:val="00255DD1"/>
    <w:rsid w:val="00256562"/>
    <w:rsid w:val="00256E19"/>
    <w:rsid w:val="00261073"/>
    <w:rsid w:val="0026184E"/>
    <w:rsid w:val="00261EBD"/>
    <w:rsid w:val="00262B1F"/>
    <w:rsid w:val="00264BC8"/>
    <w:rsid w:val="002671EE"/>
    <w:rsid w:val="00267908"/>
    <w:rsid w:val="00270B5E"/>
    <w:rsid w:val="002736F4"/>
    <w:rsid w:val="00273A42"/>
    <w:rsid w:val="0027470C"/>
    <w:rsid w:val="002747E0"/>
    <w:rsid w:val="00274D12"/>
    <w:rsid w:val="002751AF"/>
    <w:rsid w:val="00276724"/>
    <w:rsid w:val="0027689C"/>
    <w:rsid w:val="00276D94"/>
    <w:rsid w:val="002771F2"/>
    <w:rsid w:val="002777F1"/>
    <w:rsid w:val="002819A6"/>
    <w:rsid w:val="00281D90"/>
    <w:rsid w:val="002840B4"/>
    <w:rsid w:val="0028428A"/>
    <w:rsid w:val="00284F04"/>
    <w:rsid w:val="002853B2"/>
    <w:rsid w:val="002859E0"/>
    <w:rsid w:val="00290AA3"/>
    <w:rsid w:val="0029191C"/>
    <w:rsid w:val="00291BE1"/>
    <w:rsid w:val="00294908"/>
    <w:rsid w:val="00295746"/>
    <w:rsid w:val="0029591A"/>
    <w:rsid w:val="002963CA"/>
    <w:rsid w:val="0029750A"/>
    <w:rsid w:val="002A0F24"/>
    <w:rsid w:val="002A1F87"/>
    <w:rsid w:val="002A225B"/>
    <w:rsid w:val="002A45FC"/>
    <w:rsid w:val="002A5271"/>
    <w:rsid w:val="002A52FB"/>
    <w:rsid w:val="002A5BE3"/>
    <w:rsid w:val="002A5BE8"/>
    <w:rsid w:val="002A5BFC"/>
    <w:rsid w:val="002A665B"/>
    <w:rsid w:val="002A6ACD"/>
    <w:rsid w:val="002A7A83"/>
    <w:rsid w:val="002A7A8F"/>
    <w:rsid w:val="002B1C56"/>
    <w:rsid w:val="002B1E11"/>
    <w:rsid w:val="002B2287"/>
    <w:rsid w:val="002B4515"/>
    <w:rsid w:val="002B4572"/>
    <w:rsid w:val="002B4C6E"/>
    <w:rsid w:val="002B5E08"/>
    <w:rsid w:val="002B7841"/>
    <w:rsid w:val="002C41DE"/>
    <w:rsid w:val="002C474B"/>
    <w:rsid w:val="002C5772"/>
    <w:rsid w:val="002C6CCD"/>
    <w:rsid w:val="002C7709"/>
    <w:rsid w:val="002C7B49"/>
    <w:rsid w:val="002D375D"/>
    <w:rsid w:val="002D7D46"/>
    <w:rsid w:val="002E1B88"/>
    <w:rsid w:val="002E4B42"/>
    <w:rsid w:val="002E6DAC"/>
    <w:rsid w:val="002F0AB7"/>
    <w:rsid w:val="002F221C"/>
    <w:rsid w:val="002F2D28"/>
    <w:rsid w:val="002F3436"/>
    <w:rsid w:val="002F4A83"/>
    <w:rsid w:val="002F5832"/>
    <w:rsid w:val="002F62ED"/>
    <w:rsid w:val="002F6673"/>
    <w:rsid w:val="002F6AF9"/>
    <w:rsid w:val="002F723E"/>
    <w:rsid w:val="00302E7E"/>
    <w:rsid w:val="003033B0"/>
    <w:rsid w:val="00303AEB"/>
    <w:rsid w:val="003044DD"/>
    <w:rsid w:val="00305107"/>
    <w:rsid w:val="003065B7"/>
    <w:rsid w:val="003066FA"/>
    <w:rsid w:val="00306C43"/>
    <w:rsid w:val="00307226"/>
    <w:rsid w:val="00307B9A"/>
    <w:rsid w:val="003111F7"/>
    <w:rsid w:val="00311B9D"/>
    <w:rsid w:val="003125DC"/>
    <w:rsid w:val="00313EE4"/>
    <w:rsid w:val="003153E0"/>
    <w:rsid w:val="00316730"/>
    <w:rsid w:val="00316EA4"/>
    <w:rsid w:val="00317AEA"/>
    <w:rsid w:val="003232E1"/>
    <w:rsid w:val="00325D9D"/>
    <w:rsid w:val="00326291"/>
    <w:rsid w:val="003262C8"/>
    <w:rsid w:val="003269BA"/>
    <w:rsid w:val="00327A3C"/>
    <w:rsid w:val="003301FD"/>
    <w:rsid w:val="00330FE1"/>
    <w:rsid w:val="003323E8"/>
    <w:rsid w:val="00332866"/>
    <w:rsid w:val="003336B0"/>
    <w:rsid w:val="0033539A"/>
    <w:rsid w:val="00335FE4"/>
    <w:rsid w:val="00336F9F"/>
    <w:rsid w:val="003400D4"/>
    <w:rsid w:val="00340324"/>
    <w:rsid w:val="0034228E"/>
    <w:rsid w:val="00342BEE"/>
    <w:rsid w:val="003438FD"/>
    <w:rsid w:val="00343C14"/>
    <w:rsid w:val="003471B2"/>
    <w:rsid w:val="003516AE"/>
    <w:rsid w:val="00352AAD"/>
    <w:rsid w:val="00354D12"/>
    <w:rsid w:val="00356F4B"/>
    <w:rsid w:val="003613D4"/>
    <w:rsid w:val="00361974"/>
    <w:rsid w:val="00361D8F"/>
    <w:rsid w:val="00364DAA"/>
    <w:rsid w:val="003655C7"/>
    <w:rsid w:val="00365A09"/>
    <w:rsid w:val="003709C8"/>
    <w:rsid w:val="00371BB1"/>
    <w:rsid w:val="003731D0"/>
    <w:rsid w:val="0037412E"/>
    <w:rsid w:val="00375AF5"/>
    <w:rsid w:val="0037647B"/>
    <w:rsid w:val="00381786"/>
    <w:rsid w:val="00382F73"/>
    <w:rsid w:val="0038441E"/>
    <w:rsid w:val="00384B2D"/>
    <w:rsid w:val="00386DC0"/>
    <w:rsid w:val="003874D3"/>
    <w:rsid w:val="00390E6F"/>
    <w:rsid w:val="003934CF"/>
    <w:rsid w:val="003937DD"/>
    <w:rsid w:val="003939D7"/>
    <w:rsid w:val="00393DE8"/>
    <w:rsid w:val="00394467"/>
    <w:rsid w:val="00395FED"/>
    <w:rsid w:val="0039794B"/>
    <w:rsid w:val="003A00D1"/>
    <w:rsid w:val="003A20C5"/>
    <w:rsid w:val="003A4A6B"/>
    <w:rsid w:val="003B365E"/>
    <w:rsid w:val="003B66A6"/>
    <w:rsid w:val="003B670D"/>
    <w:rsid w:val="003B7098"/>
    <w:rsid w:val="003C02C3"/>
    <w:rsid w:val="003C300C"/>
    <w:rsid w:val="003C42DA"/>
    <w:rsid w:val="003C6DCA"/>
    <w:rsid w:val="003C7086"/>
    <w:rsid w:val="003D0D43"/>
    <w:rsid w:val="003D14BD"/>
    <w:rsid w:val="003D5493"/>
    <w:rsid w:val="003D5624"/>
    <w:rsid w:val="003D5C3D"/>
    <w:rsid w:val="003D5F96"/>
    <w:rsid w:val="003D6AD6"/>
    <w:rsid w:val="003D7305"/>
    <w:rsid w:val="003E008A"/>
    <w:rsid w:val="003E054E"/>
    <w:rsid w:val="003E096A"/>
    <w:rsid w:val="003E2369"/>
    <w:rsid w:val="003E3D50"/>
    <w:rsid w:val="003E5096"/>
    <w:rsid w:val="003E6BDD"/>
    <w:rsid w:val="003E7190"/>
    <w:rsid w:val="003F0A66"/>
    <w:rsid w:val="003F45A8"/>
    <w:rsid w:val="003F50B8"/>
    <w:rsid w:val="003F669E"/>
    <w:rsid w:val="003F68AD"/>
    <w:rsid w:val="00403437"/>
    <w:rsid w:val="00404A11"/>
    <w:rsid w:val="0040596D"/>
    <w:rsid w:val="00405EFF"/>
    <w:rsid w:val="004077E1"/>
    <w:rsid w:val="00411D88"/>
    <w:rsid w:val="0041204F"/>
    <w:rsid w:val="0041208E"/>
    <w:rsid w:val="00414211"/>
    <w:rsid w:val="00414ED9"/>
    <w:rsid w:val="00416909"/>
    <w:rsid w:val="004172F0"/>
    <w:rsid w:val="00417B30"/>
    <w:rsid w:val="00420E07"/>
    <w:rsid w:val="004234AF"/>
    <w:rsid w:val="004235B4"/>
    <w:rsid w:val="00423A1F"/>
    <w:rsid w:val="004244C1"/>
    <w:rsid w:val="00425834"/>
    <w:rsid w:val="004258F6"/>
    <w:rsid w:val="004266F3"/>
    <w:rsid w:val="0042708E"/>
    <w:rsid w:val="00430D60"/>
    <w:rsid w:val="00432746"/>
    <w:rsid w:val="00434830"/>
    <w:rsid w:val="004354F3"/>
    <w:rsid w:val="00435EC4"/>
    <w:rsid w:val="00441FCD"/>
    <w:rsid w:val="004421E7"/>
    <w:rsid w:val="00442BB7"/>
    <w:rsid w:val="004446EA"/>
    <w:rsid w:val="00444B9D"/>
    <w:rsid w:val="00446D8C"/>
    <w:rsid w:val="004477DB"/>
    <w:rsid w:val="00450B49"/>
    <w:rsid w:val="00450BC1"/>
    <w:rsid w:val="00451781"/>
    <w:rsid w:val="00452C79"/>
    <w:rsid w:val="0045321B"/>
    <w:rsid w:val="004551B9"/>
    <w:rsid w:val="00456A56"/>
    <w:rsid w:val="00457CE2"/>
    <w:rsid w:val="00460D3E"/>
    <w:rsid w:val="004616ED"/>
    <w:rsid w:val="00462990"/>
    <w:rsid w:val="00462AA1"/>
    <w:rsid w:val="00464429"/>
    <w:rsid w:val="00466502"/>
    <w:rsid w:val="004668F7"/>
    <w:rsid w:val="004703FD"/>
    <w:rsid w:val="00470B9A"/>
    <w:rsid w:val="00472206"/>
    <w:rsid w:val="00472A31"/>
    <w:rsid w:val="00474CEC"/>
    <w:rsid w:val="00474FC0"/>
    <w:rsid w:val="00476B88"/>
    <w:rsid w:val="00476DC4"/>
    <w:rsid w:val="004775FE"/>
    <w:rsid w:val="00477F43"/>
    <w:rsid w:val="004820F7"/>
    <w:rsid w:val="00482731"/>
    <w:rsid w:val="00483BDC"/>
    <w:rsid w:val="00483E46"/>
    <w:rsid w:val="00483F23"/>
    <w:rsid w:val="00484F85"/>
    <w:rsid w:val="00491053"/>
    <w:rsid w:val="00491C91"/>
    <w:rsid w:val="00491D2A"/>
    <w:rsid w:val="00491E33"/>
    <w:rsid w:val="0049333A"/>
    <w:rsid w:val="0049602B"/>
    <w:rsid w:val="00496BD0"/>
    <w:rsid w:val="00497CF6"/>
    <w:rsid w:val="004A1953"/>
    <w:rsid w:val="004A2FF4"/>
    <w:rsid w:val="004A3471"/>
    <w:rsid w:val="004A4E25"/>
    <w:rsid w:val="004B0390"/>
    <w:rsid w:val="004B0D9B"/>
    <w:rsid w:val="004B157E"/>
    <w:rsid w:val="004B1B7D"/>
    <w:rsid w:val="004B2265"/>
    <w:rsid w:val="004B463D"/>
    <w:rsid w:val="004B4C61"/>
    <w:rsid w:val="004B5B13"/>
    <w:rsid w:val="004B6D9D"/>
    <w:rsid w:val="004C0D5E"/>
    <w:rsid w:val="004C0DDC"/>
    <w:rsid w:val="004C4086"/>
    <w:rsid w:val="004C48BD"/>
    <w:rsid w:val="004C4AA1"/>
    <w:rsid w:val="004C5958"/>
    <w:rsid w:val="004C73B2"/>
    <w:rsid w:val="004D1145"/>
    <w:rsid w:val="004D1A85"/>
    <w:rsid w:val="004D3309"/>
    <w:rsid w:val="004D3BB4"/>
    <w:rsid w:val="004D4647"/>
    <w:rsid w:val="004D491A"/>
    <w:rsid w:val="004D4BCD"/>
    <w:rsid w:val="004D5280"/>
    <w:rsid w:val="004D58AD"/>
    <w:rsid w:val="004D5AD6"/>
    <w:rsid w:val="004D5B9D"/>
    <w:rsid w:val="004D5D78"/>
    <w:rsid w:val="004D6D8A"/>
    <w:rsid w:val="004E0383"/>
    <w:rsid w:val="004E039E"/>
    <w:rsid w:val="004E4AB7"/>
    <w:rsid w:val="004E65D9"/>
    <w:rsid w:val="004E72F0"/>
    <w:rsid w:val="004F03E9"/>
    <w:rsid w:val="004F0D6A"/>
    <w:rsid w:val="004F3174"/>
    <w:rsid w:val="004F3EF9"/>
    <w:rsid w:val="004F3F7E"/>
    <w:rsid w:val="004F4D27"/>
    <w:rsid w:val="004F65A9"/>
    <w:rsid w:val="00503713"/>
    <w:rsid w:val="00503F8C"/>
    <w:rsid w:val="00506CD1"/>
    <w:rsid w:val="0050700E"/>
    <w:rsid w:val="00507633"/>
    <w:rsid w:val="00510F8D"/>
    <w:rsid w:val="005111FB"/>
    <w:rsid w:val="005117DF"/>
    <w:rsid w:val="00517B16"/>
    <w:rsid w:val="0052094A"/>
    <w:rsid w:val="00520D90"/>
    <w:rsid w:val="00522CA3"/>
    <w:rsid w:val="00523180"/>
    <w:rsid w:val="0052479C"/>
    <w:rsid w:val="0052581E"/>
    <w:rsid w:val="00531930"/>
    <w:rsid w:val="00531CBF"/>
    <w:rsid w:val="00533862"/>
    <w:rsid w:val="00534672"/>
    <w:rsid w:val="00536D21"/>
    <w:rsid w:val="00537416"/>
    <w:rsid w:val="00537485"/>
    <w:rsid w:val="005406D3"/>
    <w:rsid w:val="0054074C"/>
    <w:rsid w:val="00540849"/>
    <w:rsid w:val="00542F23"/>
    <w:rsid w:val="005436E2"/>
    <w:rsid w:val="005438FF"/>
    <w:rsid w:val="00545C92"/>
    <w:rsid w:val="00545DE0"/>
    <w:rsid w:val="00547E29"/>
    <w:rsid w:val="00550CC6"/>
    <w:rsid w:val="00551395"/>
    <w:rsid w:val="00552D6A"/>
    <w:rsid w:val="00556736"/>
    <w:rsid w:val="005568BE"/>
    <w:rsid w:val="0055780F"/>
    <w:rsid w:val="00557D1E"/>
    <w:rsid w:val="0056606F"/>
    <w:rsid w:val="00570424"/>
    <w:rsid w:val="00570AB6"/>
    <w:rsid w:val="00571226"/>
    <w:rsid w:val="00572BEC"/>
    <w:rsid w:val="00577231"/>
    <w:rsid w:val="00577E49"/>
    <w:rsid w:val="00580BCD"/>
    <w:rsid w:val="00580C7C"/>
    <w:rsid w:val="0058116D"/>
    <w:rsid w:val="00582BD8"/>
    <w:rsid w:val="005839FB"/>
    <w:rsid w:val="00584A04"/>
    <w:rsid w:val="00585C9C"/>
    <w:rsid w:val="005867F4"/>
    <w:rsid w:val="00591FE5"/>
    <w:rsid w:val="0059301E"/>
    <w:rsid w:val="00593CDC"/>
    <w:rsid w:val="00596299"/>
    <w:rsid w:val="005A13EF"/>
    <w:rsid w:val="005A1C1F"/>
    <w:rsid w:val="005A2341"/>
    <w:rsid w:val="005A32B5"/>
    <w:rsid w:val="005A5848"/>
    <w:rsid w:val="005A5F09"/>
    <w:rsid w:val="005B0696"/>
    <w:rsid w:val="005B0F5A"/>
    <w:rsid w:val="005B31E0"/>
    <w:rsid w:val="005B7D07"/>
    <w:rsid w:val="005C2501"/>
    <w:rsid w:val="005C71BA"/>
    <w:rsid w:val="005C7921"/>
    <w:rsid w:val="005D012E"/>
    <w:rsid w:val="005D0381"/>
    <w:rsid w:val="005D11EB"/>
    <w:rsid w:val="005D1BAD"/>
    <w:rsid w:val="005D4E29"/>
    <w:rsid w:val="005D59C4"/>
    <w:rsid w:val="005D5FA6"/>
    <w:rsid w:val="005D6148"/>
    <w:rsid w:val="005D7885"/>
    <w:rsid w:val="005D7A48"/>
    <w:rsid w:val="005E127D"/>
    <w:rsid w:val="005E2166"/>
    <w:rsid w:val="005E2369"/>
    <w:rsid w:val="005E404E"/>
    <w:rsid w:val="005E51E4"/>
    <w:rsid w:val="005E628F"/>
    <w:rsid w:val="005E76BD"/>
    <w:rsid w:val="005F14FF"/>
    <w:rsid w:val="005F19DF"/>
    <w:rsid w:val="005F2226"/>
    <w:rsid w:val="005F378B"/>
    <w:rsid w:val="005F3E45"/>
    <w:rsid w:val="005F585F"/>
    <w:rsid w:val="005F5D51"/>
    <w:rsid w:val="00601B97"/>
    <w:rsid w:val="00602B5B"/>
    <w:rsid w:val="0060327B"/>
    <w:rsid w:val="00606C4D"/>
    <w:rsid w:val="00607F88"/>
    <w:rsid w:val="0061062F"/>
    <w:rsid w:val="00612116"/>
    <w:rsid w:val="00612AB6"/>
    <w:rsid w:val="00612F68"/>
    <w:rsid w:val="006151F9"/>
    <w:rsid w:val="006155FF"/>
    <w:rsid w:val="006169F4"/>
    <w:rsid w:val="00617566"/>
    <w:rsid w:val="00620739"/>
    <w:rsid w:val="00621B42"/>
    <w:rsid w:val="0062484C"/>
    <w:rsid w:val="00624BE7"/>
    <w:rsid w:val="00626CA8"/>
    <w:rsid w:val="00626E73"/>
    <w:rsid w:val="00627357"/>
    <w:rsid w:val="0063041D"/>
    <w:rsid w:val="00630631"/>
    <w:rsid w:val="0063259A"/>
    <w:rsid w:val="006354AE"/>
    <w:rsid w:val="0063589E"/>
    <w:rsid w:val="00636CEE"/>
    <w:rsid w:val="006409C1"/>
    <w:rsid w:val="00640EE4"/>
    <w:rsid w:val="00641B76"/>
    <w:rsid w:val="00641C47"/>
    <w:rsid w:val="00642FCD"/>
    <w:rsid w:val="0064336C"/>
    <w:rsid w:val="006433F2"/>
    <w:rsid w:val="006442EF"/>
    <w:rsid w:val="006449BE"/>
    <w:rsid w:val="0064647F"/>
    <w:rsid w:val="00646A8D"/>
    <w:rsid w:val="00646D1D"/>
    <w:rsid w:val="00650029"/>
    <w:rsid w:val="0065171C"/>
    <w:rsid w:val="00653D90"/>
    <w:rsid w:val="00654216"/>
    <w:rsid w:val="00654DEC"/>
    <w:rsid w:val="006560F4"/>
    <w:rsid w:val="00656E5C"/>
    <w:rsid w:val="00657938"/>
    <w:rsid w:val="0066264A"/>
    <w:rsid w:val="00663870"/>
    <w:rsid w:val="00664D4A"/>
    <w:rsid w:val="00666C48"/>
    <w:rsid w:val="00666F87"/>
    <w:rsid w:val="0066701C"/>
    <w:rsid w:val="00667728"/>
    <w:rsid w:val="006711CE"/>
    <w:rsid w:val="006814D4"/>
    <w:rsid w:val="00683537"/>
    <w:rsid w:val="00685805"/>
    <w:rsid w:val="00686894"/>
    <w:rsid w:val="00691052"/>
    <w:rsid w:val="006919AD"/>
    <w:rsid w:val="00692250"/>
    <w:rsid w:val="00692C95"/>
    <w:rsid w:val="00692DC4"/>
    <w:rsid w:val="006933E2"/>
    <w:rsid w:val="0069384E"/>
    <w:rsid w:val="006945ED"/>
    <w:rsid w:val="00696168"/>
    <w:rsid w:val="00696AF3"/>
    <w:rsid w:val="006A21AD"/>
    <w:rsid w:val="006A3CB9"/>
    <w:rsid w:val="006A4A0E"/>
    <w:rsid w:val="006B1DEB"/>
    <w:rsid w:val="006B1F0E"/>
    <w:rsid w:val="006B1F4F"/>
    <w:rsid w:val="006B3FE6"/>
    <w:rsid w:val="006B4390"/>
    <w:rsid w:val="006B4CA3"/>
    <w:rsid w:val="006B75EE"/>
    <w:rsid w:val="006B7E92"/>
    <w:rsid w:val="006C23C5"/>
    <w:rsid w:val="006C2866"/>
    <w:rsid w:val="006C6D76"/>
    <w:rsid w:val="006C7D09"/>
    <w:rsid w:val="006D0595"/>
    <w:rsid w:val="006D36ED"/>
    <w:rsid w:val="006D6AC3"/>
    <w:rsid w:val="006E3765"/>
    <w:rsid w:val="006E3AB7"/>
    <w:rsid w:val="006E53D7"/>
    <w:rsid w:val="006E6699"/>
    <w:rsid w:val="006E7540"/>
    <w:rsid w:val="006F0118"/>
    <w:rsid w:val="006F190A"/>
    <w:rsid w:val="006F25D6"/>
    <w:rsid w:val="006F25F0"/>
    <w:rsid w:val="006F366D"/>
    <w:rsid w:val="006F3781"/>
    <w:rsid w:val="006F3932"/>
    <w:rsid w:val="006F50B2"/>
    <w:rsid w:val="006F6417"/>
    <w:rsid w:val="006F6711"/>
    <w:rsid w:val="00700FA0"/>
    <w:rsid w:val="00702C60"/>
    <w:rsid w:val="00703A1C"/>
    <w:rsid w:val="00704EC0"/>
    <w:rsid w:val="0070547D"/>
    <w:rsid w:val="00705B82"/>
    <w:rsid w:val="00705E5A"/>
    <w:rsid w:val="0070757F"/>
    <w:rsid w:val="00711771"/>
    <w:rsid w:val="00711CE8"/>
    <w:rsid w:val="00712560"/>
    <w:rsid w:val="00712D82"/>
    <w:rsid w:val="00713DA3"/>
    <w:rsid w:val="00715A35"/>
    <w:rsid w:val="00723A4B"/>
    <w:rsid w:val="007257A9"/>
    <w:rsid w:val="00726A10"/>
    <w:rsid w:val="007276F4"/>
    <w:rsid w:val="007303EF"/>
    <w:rsid w:val="0073078C"/>
    <w:rsid w:val="00730B7F"/>
    <w:rsid w:val="007313D0"/>
    <w:rsid w:val="00732186"/>
    <w:rsid w:val="00732FE4"/>
    <w:rsid w:val="00734556"/>
    <w:rsid w:val="00734F8F"/>
    <w:rsid w:val="007355B7"/>
    <w:rsid w:val="00735AF0"/>
    <w:rsid w:val="007362B8"/>
    <w:rsid w:val="00736E3F"/>
    <w:rsid w:val="00747197"/>
    <w:rsid w:val="007479A0"/>
    <w:rsid w:val="00747A89"/>
    <w:rsid w:val="00750E65"/>
    <w:rsid w:val="00751104"/>
    <w:rsid w:val="00752873"/>
    <w:rsid w:val="0075287F"/>
    <w:rsid w:val="00752BD4"/>
    <w:rsid w:val="00755674"/>
    <w:rsid w:val="00756A52"/>
    <w:rsid w:val="00756E44"/>
    <w:rsid w:val="007579D3"/>
    <w:rsid w:val="0076171D"/>
    <w:rsid w:val="00761A44"/>
    <w:rsid w:val="00761BE7"/>
    <w:rsid w:val="00761DF2"/>
    <w:rsid w:val="00761FC9"/>
    <w:rsid w:val="007626F3"/>
    <w:rsid w:val="00762A9D"/>
    <w:rsid w:val="00762BC5"/>
    <w:rsid w:val="0076407E"/>
    <w:rsid w:val="00764574"/>
    <w:rsid w:val="00766503"/>
    <w:rsid w:val="00766525"/>
    <w:rsid w:val="00767151"/>
    <w:rsid w:val="00772325"/>
    <w:rsid w:val="00774308"/>
    <w:rsid w:val="007766BE"/>
    <w:rsid w:val="00776DD2"/>
    <w:rsid w:val="00777313"/>
    <w:rsid w:val="00777B94"/>
    <w:rsid w:val="00777FF3"/>
    <w:rsid w:val="00781076"/>
    <w:rsid w:val="007811E0"/>
    <w:rsid w:val="007831C9"/>
    <w:rsid w:val="0078329D"/>
    <w:rsid w:val="007842E8"/>
    <w:rsid w:val="007844F5"/>
    <w:rsid w:val="0078454E"/>
    <w:rsid w:val="007851AB"/>
    <w:rsid w:val="0078574A"/>
    <w:rsid w:val="007860CD"/>
    <w:rsid w:val="00787BE7"/>
    <w:rsid w:val="0079072C"/>
    <w:rsid w:val="00791DB4"/>
    <w:rsid w:val="007926A5"/>
    <w:rsid w:val="007928CF"/>
    <w:rsid w:val="00794A53"/>
    <w:rsid w:val="00794EB1"/>
    <w:rsid w:val="007A1B1B"/>
    <w:rsid w:val="007A2B41"/>
    <w:rsid w:val="007A345C"/>
    <w:rsid w:val="007A4527"/>
    <w:rsid w:val="007A51FD"/>
    <w:rsid w:val="007A7225"/>
    <w:rsid w:val="007B046B"/>
    <w:rsid w:val="007B0938"/>
    <w:rsid w:val="007B12D0"/>
    <w:rsid w:val="007B1885"/>
    <w:rsid w:val="007B2821"/>
    <w:rsid w:val="007B2AF2"/>
    <w:rsid w:val="007B39DE"/>
    <w:rsid w:val="007B5150"/>
    <w:rsid w:val="007B6213"/>
    <w:rsid w:val="007B68A7"/>
    <w:rsid w:val="007B7E95"/>
    <w:rsid w:val="007C05FF"/>
    <w:rsid w:val="007C3A8E"/>
    <w:rsid w:val="007C5612"/>
    <w:rsid w:val="007C6849"/>
    <w:rsid w:val="007C785B"/>
    <w:rsid w:val="007D0FBF"/>
    <w:rsid w:val="007D352A"/>
    <w:rsid w:val="007D4117"/>
    <w:rsid w:val="007D6891"/>
    <w:rsid w:val="007D6D77"/>
    <w:rsid w:val="007D72A3"/>
    <w:rsid w:val="007E091B"/>
    <w:rsid w:val="007E379E"/>
    <w:rsid w:val="007E4AEA"/>
    <w:rsid w:val="007E6876"/>
    <w:rsid w:val="007F1112"/>
    <w:rsid w:val="007F4591"/>
    <w:rsid w:val="007F599A"/>
    <w:rsid w:val="0080080D"/>
    <w:rsid w:val="008014E3"/>
    <w:rsid w:val="008024BC"/>
    <w:rsid w:val="00802B47"/>
    <w:rsid w:val="0080371C"/>
    <w:rsid w:val="00803E38"/>
    <w:rsid w:val="008042B4"/>
    <w:rsid w:val="008050AC"/>
    <w:rsid w:val="00806428"/>
    <w:rsid w:val="008074E2"/>
    <w:rsid w:val="00807B93"/>
    <w:rsid w:val="008100AC"/>
    <w:rsid w:val="00810405"/>
    <w:rsid w:val="008114C8"/>
    <w:rsid w:val="00815A4C"/>
    <w:rsid w:val="008178E9"/>
    <w:rsid w:val="00820C3C"/>
    <w:rsid w:val="00821358"/>
    <w:rsid w:val="008223CC"/>
    <w:rsid w:val="00822F23"/>
    <w:rsid w:val="008245F1"/>
    <w:rsid w:val="00825AD3"/>
    <w:rsid w:val="008269B4"/>
    <w:rsid w:val="008277D3"/>
    <w:rsid w:val="00831FC3"/>
    <w:rsid w:val="0083259F"/>
    <w:rsid w:val="00833ADF"/>
    <w:rsid w:val="008361E8"/>
    <w:rsid w:val="00836237"/>
    <w:rsid w:val="00837EC6"/>
    <w:rsid w:val="0084160F"/>
    <w:rsid w:val="00841C87"/>
    <w:rsid w:val="00842BEB"/>
    <w:rsid w:val="008430C2"/>
    <w:rsid w:val="008457A4"/>
    <w:rsid w:val="00845B2A"/>
    <w:rsid w:val="0084602D"/>
    <w:rsid w:val="00850410"/>
    <w:rsid w:val="00850DC1"/>
    <w:rsid w:val="008545FF"/>
    <w:rsid w:val="00854848"/>
    <w:rsid w:val="00854ECE"/>
    <w:rsid w:val="0085598F"/>
    <w:rsid w:val="00856786"/>
    <w:rsid w:val="00856AC8"/>
    <w:rsid w:val="00856B6A"/>
    <w:rsid w:val="008570E2"/>
    <w:rsid w:val="00862275"/>
    <w:rsid w:val="00862327"/>
    <w:rsid w:val="008629DE"/>
    <w:rsid w:val="00864BF9"/>
    <w:rsid w:val="00865878"/>
    <w:rsid w:val="00866562"/>
    <w:rsid w:val="0087026F"/>
    <w:rsid w:val="0087094B"/>
    <w:rsid w:val="00870F84"/>
    <w:rsid w:val="00871741"/>
    <w:rsid w:val="00872C82"/>
    <w:rsid w:val="00873113"/>
    <w:rsid w:val="00874417"/>
    <w:rsid w:val="0087478C"/>
    <w:rsid w:val="0087561D"/>
    <w:rsid w:val="00875EC0"/>
    <w:rsid w:val="00875F46"/>
    <w:rsid w:val="0088080D"/>
    <w:rsid w:val="008834C3"/>
    <w:rsid w:val="00883F38"/>
    <w:rsid w:val="00884075"/>
    <w:rsid w:val="008840BE"/>
    <w:rsid w:val="00886512"/>
    <w:rsid w:val="008865EC"/>
    <w:rsid w:val="008903AB"/>
    <w:rsid w:val="00890F87"/>
    <w:rsid w:val="0089232A"/>
    <w:rsid w:val="00893B6F"/>
    <w:rsid w:val="008968E1"/>
    <w:rsid w:val="00896CC2"/>
    <w:rsid w:val="00897CFF"/>
    <w:rsid w:val="008A13A2"/>
    <w:rsid w:val="008A1F55"/>
    <w:rsid w:val="008A29B5"/>
    <w:rsid w:val="008A2B91"/>
    <w:rsid w:val="008A574A"/>
    <w:rsid w:val="008A66BA"/>
    <w:rsid w:val="008A7840"/>
    <w:rsid w:val="008A7EFB"/>
    <w:rsid w:val="008B04C3"/>
    <w:rsid w:val="008B1A37"/>
    <w:rsid w:val="008B2A5F"/>
    <w:rsid w:val="008B2E03"/>
    <w:rsid w:val="008B3FDF"/>
    <w:rsid w:val="008B4856"/>
    <w:rsid w:val="008B723E"/>
    <w:rsid w:val="008B741A"/>
    <w:rsid w:val="008B776C"/>
    <w:rsid w:val="008B7F3D"/>
    <w:rsid w:val="008C322F"/>
    <w:rsid w:val="008C404C"/>
    <w:rsid w:val="008C5D1D"/>
    <w:rsid w:val="008C6BF1"/>
    <w:rsid w:val="008C7FFA"/>
    <w:rsid w:val="008D0E26"/>
    <w:rsid w:val="008D130F"/>
    <w:rsid w:val="008D1DCA"/>
    <w:rsid w:val="008D1F92"/>
    <w:rsid w:val="008D2479"/>
    <w:rsid w:val="008D2EA4"/>
    <w:rsid w:val="008D3FC5"/>
    <w:rsid w:val="008D4C4E"/>
    <w:rsid w:val="008D58BE"/>
    <w:rsid w:val="008D7ABC"/>
    <w:rsid w:val="008E12B4"/>
    <w:rsid w:val="008E26F6"/>
    <w:rsid w:val="008E3509"/>
    <w:rsid w:val="008E39A2"/>
    <w:rsid w:val="008E3B98"/>
    <w:rsid w:val="008E413E"/>
    <w:rsid w:val="008E584C"/>
    <w:rsid w:val="008E6EB2"/>
    <w:rsid w:val="008F062A"/>
    <w:rsid w:val="008F1632"/>
    <w:rsid w:val="008F2498"/>
    <w:rsid w:val="008F40C1"/>
    <w:rsid w:val="008F4DA3"/>
    <w:rsid w:val="008F5C18"/>
    <w:rsid w:val="008F7008"/>
    <w:rsid w:val="0090053F"/>
    <w:rsid w:val="00901541"/>
    <w:rsid w:val="00901A1D"/>
    <w:rsid w:val="00903FE8"/>
    <w:rsid w:val="00904EE3"/>
    <w:rsid w:val="00906924"/>
    <w:rsid w:val="00907CCF"/>
    <w:rsid w:val="0091196E"/>
    <w:rsid w:val="00911A45"/>
    <w:rsid w:val="009135A4"/>
    <w:rsid w:val="009136F9"/>
    <w:rsid w:val="00913963"/>
    <w:rsid w:val="009146F5"/>
    <w:rsid w:val="00914D0F"/>
    <w:rsid w:val="0091543E"/>
    <w:rsid w:val="00915645"/>
    <w:rsid w:val="009167B6"/>
    <w:rsid w:val="0092209A"/>
    <w:rsid w:val="00922559"/>
    <w:rsid w:val="009243CB"/>
    <w:rsid w:val="009250E8"/>
    <w:rsid w:val="0092519D"/>
    <w:rsid w:val="00925646"/>
    <w:rsid w:val="009267A2"/>
    <w:rsid w:val="00926AB2"/>
    <w:rsid w:val="00926D15"/>
    <w:rsid w:val="00927930"/>
    <w:rsid w:val="009307D9"/>
    <w:rsid w:val="0093183C"/>
    <w:rsid w:val="00932C63"/>
    <w:rsid w:val="0093446F"/>
    <w:rsid w:val="009353E6"/>
    <w:rsid w:val="00935EB0"/>
    <w:rsid w:val="00936228"/>
    <w:rsid w:val="00937B75"/>
    <w:rsid w:val="00937C7D"/>
    <w:rsid w:val="00937D41"/>
    <w:rsid w:val="00940910"/>
    <w:rsid w:val="009421B1"/>
    <w:rsid w:val="00943955"/>
    <w:rsid w:val="00944925"/>
    <w:rsid w:val="0094606E"/>
    <w:rsid w:val="00946F58"/>
    <w:rsid w:val="00952087"/>
    <w:rsid w:val="00954509"/>
    <w:rsid w:val="00954EE0"/>
    <w:rsid w:val="009565F5"/>
    <w:rsid w:val="00957F2F"/>
    <w:rsid w:val="009626F5"/>
    <w:rsid w:val="00965CA3"/>
    <w:rsid w:val="009677BC"/>
    <w:rsid w:val="00970FBA"/>
    <w:rsid w:val="00972B7C"/>
    <w:rsid w:val="00973B6B"/>
    <w:rsid w:val="00974559"/>
    <w:rsid w:val="009772D0"/>
    <w:rsid w:val="009816D9"/>
    <w:rsid w:val="009851E0"/>
    <w:rsid w:val="00990514"/>
    <w:rsid w:val="00990895"/>
    <w:rsid w:val="009922E5"/>
    <w:rsid w:val="00993E69"/>
    <w:rsid w:val="00994442"/>
    <w:rsid w:val="009946D9"/>
    <w:rsid w:val="00994835"/>
    <w:rsid w:val="009958C6"/>
    <w:rsid w:val="00995B11"/>
    <w:rsid w:val="00996E75"/>
    <w:rsid w:val="009A0487"/>
    <w:rsid w:val="009A0AB5"/>
    <w:rsid w:val="009A4E7B"/>
    <w:rsid w:val="009A54A6"/>
    <w:rsid w:val="009A5D17"/>
    <w:rsid w:val="009A6B01"/>
    <w:rsid w:val="009A766F"/>
    <w:rsid w:val="009B105E"/>
    <w:rsid w:val="009B1500"/>
    <w:rsid w:val="009B2365"/>
    <w:rsid w:val="009B26EC"/>
    <w:rsid w:val="009B2B46"/>
    <w:rsid w:val="009B305F"/>
    <w:rsid w:val="009B348E"/>
    <w:rsid w:val="009B4BCD"/>
    <w:rsid w:val="009B50F0"/>
    <w:rsid w:val="009B6377"/>
    <w:rsid w:val="009B77CA"/>
    <w:rsid w:val="009C39DE"/>
    <w:rsid w:val="009C3EBB"/>
    <w:rsid w:val="009C5847"/>
    <w:rsid w:val="009C5B7F"/>
    <w:rsid w:val="009C6E41"/>
    <w:rsid w:val="009D0D0A"/>
    <w:rsid w:val="009D0DC2"/>
    <w:rsid w:val="009D0DE4"/>
    <w:rsid w:val="009D187B"/>
    <w:rsid w:val="009D1FB1"/>
    <w:rsid w:val="009D2AEB"/>
    <w:rsid w:val="009D3E69"/>
    <w:rsid w:val="009D4597"/>
    <w:rsid w:val="009D488D"/>
    <w:rsid w:val="009E184F"/>
    <w:rsid w:val="009E3485"/>
    <w:rsid w:val="009E47E3"/>
    <w:rsid w:val="009E5F74"/>
    <w:rsid w:val="009F11EC"/>
    <w:rsid w:val="009F1522"/>
    <w:rsid w:val="009F3314"/>
    <w:rsid w:val="009F48A7"/>
    <w:rsid w:val="009F5F9C"/>
    <w:rsid w:val="009F73BD"/>
    <w:rsid w:val="009F7695"/>
    <w:rsid w:val="00A000F8"/>
    <w:rsid w:val="00A01E06"/>
    <w:rsid w:val="00A01F72"/>
    <w:rsid w:val="00A02989"/>
    <w:rsid w:val="00A02F9A"/>
    <w:rsid w:val="00A05229"/>
    <w:rsid w:val="00A05A66"/>
    <w:rsid w:val="00A06C0B"/>
    <w:rsid w:val="00A07C40"/>
    <w:rsid w:val="00A13657"/>
    <w:rsid w:val="00A13C89"/>
    <w:rsid w:val="00A149AF"/>
    <w:rsid w:val="00A16247"/>
    <w:rsid w:val="00A200A5"/>
    <w:rsid w:val="00A2034A"/>
    <w:rsid w:val="00A21534"/>
    <w:rsid w:val="00A22076"/>
    <w:rsid w:val="00A22726"/>
    <w:rsid w:val="00A245F7"/>
    <w:rsid w:val="00A24EE7"/>
    <w:rsid w:val="00A25B15"/>
    <w:rsid w:val="00A30674"/>
    <w:rsid w:val="00A319B7"/>
    <w:rsid w:val="00A33144"/>
    <w:rsid w:val="00A340F2"/>
    <w:rsid w:val="00A35B6B"/>
    <w:rsid w:val="00A41D83"/>
    <w:rsid w:val="00A42090"/>
    <w:rsid w:val="00A42820"/>
    <w:rsid w:val="00A4282A"/>
    <w:rsid w:val="00A451BF"/>
    <w:rsid w:val="00A46610"/>
    <w:rsid w:val="00A468FC"/>
    <w:rsid w:val="00A46B26"/>
    <w:rsid w:val="00A509B3"/>
    <w:rsid w:val="00A518BB"/>
    <w:rsid w:val="00A52DAA"/>
    <w:rsid w:val="00A53742"/>
    <w:rsid w:val="00A538F4"/>
    <w:rsid w:val="00A550E8"/>
    <w:rsid w:val="00A5651D"/>
    <w:rsid w:val="00A62292"/>
    <w:rsid w:val="00A63180"/>
    <w:rsid w:val="00A64D81"/>
    <w:rsid w:val="00A65E91"/>
    <w:rsid w:val="00A662AF"/>
    <w:rsid w:val="00A662FB"/>
    <w:rsid w:val="00A67E29"/>
    <w:rsid w:val="00A702F7"/>
    <w:rsid w:val="00A727E2"/>
    <w:rsid w:val="00A72852"/>
    <w:rsid w:val="00A73EB6"/>
    <w:rsid w:val="00A76155"/>
    <w:rsid w:val="00A76D6E"/>
    <w:rsid w:val="00A77B81"/>
    <w:rsid w:val="00A77BB2"/>
    <w:rsid w:val="00A83935"/>
    <w:rsid w:val="00A84C1B"/>
    <w:rsid w:val="00A85BD3"/>
    <w:rsid w:val="00A8654E"/>
    <w:rsid w:val="00A8682E"/>
    <w:rsid w:val="00A86D3A"/>
    <w:rsid w:val="00A91730"/>
    <w:rsid w:val="00A92FDF"/>
    <w:rsid w:val="00A9441B"/>
    <w:rsid w:val="00A94E50"/>
    <w:rsid w:val="00A94ECE"/>
    <w:rsid w:val="00A950C6"/>
    <w:rsid w:val="00A9517E"/>
    <w:rsid w:val="00A974DC"/>
    <w:rsid w:val="00A97E79"/>
    <w:rsid w:val="00AA009C"/>
    <w:rsid w:val="00AA36C8"/>
    <w:rsid w:val="00AB0509"/>
    <w:rsid w:val="00AB0B5B"/>
    <w:rsid w:val="00AB372E"/>
    <w:rsid w:val="00AB3F63"/>
    <w:rsid w:val="00AB62E5"/>
    <w:rsid w:val="00AB676F"/>
    <w:rsid w:val="00AB68B9"/>
    <w:rsid w:val="00AB69F0"/>
    <w:rsid w:val="00AB78B7"/>
    <w:rsid w:val="00AC14C6"/>
    <w:rsid w:val="00AC1AD7"/>
    <w:rsid w:val="00AC65EC"/>
    <w:rsid w:val="00AC6B6B"/>
    <w:rsid w:val="00AD001B"/>
    <w:rsid w:val="00AD0831"/>
    <w:rsid w:val="00AD1003"/>
    <w:rsid w:val="00AD1ABD"/>
    <w:rsid w:val="00AD2488"/>
    <w:rsid w:val="00AD2C81"/>
    <w:rsid w:val="00AD3C03"/>
    <w:rsid w:val="00AD6E83"/>
    <w:rsid w:val="00AE08F8"/>
    <w:rsid w:val="00AE12C8"/>
    <w:rsid w:val="00AE2022"/>
    <w:rsid w:val="00AE39D9"/>
    <w:rsid w:val="00AE3A3E"/>
    <w:rsid w:val="00AE503D"/>
    <w:rsid w:val="00AE5B8A"/>
    <w:rsid w:val="00AE7347"/>
    <w:rsid w:val="00AF0209"/>
    <w:rsid w:val="00AF0C5B"/>
    <w:rsid w:val="00AF3236"/>
    <w:rsid w:val="00AF3617"/>
    <w:rsid w:val="00AF4DE6"/>
    <w:rsid w:val="00AF6300"/>
    <w:rsid w:val="00AF6434"/>
    <w:rsid w:val="00AF68B1"/>
    <w:rsid w:val="00AF7A67"/>
    <w:rsid w:val="00B014B4"/>
    <w:rsid w:val="00B029A8"/>
    <w:rsid w:val="00B05936"/>
    <w:rsid w:val="00B06928"/>
    <w:rsid w:val="00B073FC"/>
    <w:rsid w:val="00B07669"/>
    <w:rsid w:val="00B1038F"/>
    <w:rsid w:val="00B10798"/>
    <w:rsid w:val="00B115BA"/>
    <w:rsid w:val="00B12533"/>
    <w:rsid w:val="00B12599"/>
    <w:rsid w:val="00B126F8"/>
    <w:rsid w:val="00B127FA"/>
    <w:rsid w:val="00B12FC6"/>
    <w:rsid w:val="00B132B6"/>
    <w:rsid w:val="00B138CF"/>
    <w:rsid w:val="00B13A15"/>
    <w:rsid w:val="00B15A0B"/>
    <w:rsid w:val="00B16F5D"/>
    <w:rsid w:val="00B1728A"/>
    <w:rsid w:val="00B17531"/>
    <w:rsid w:val="00B204B0"/>
    <w:rsid w:val="00B23E31"/>
    <w:rsid w:val="00B24123"/>
    <w:rsid w:val="00B24166"/>
    <w:rsid w:val="00B24A9E"/>
    <w:rsid w:val="00B25A09"/>
    <w:rsid w:val="00B262FA"/>
    <w:rsid w:val="00B3067E"/>
    <w:rsid w:val="00B30801"/>
    <w:rsid w:val="00B32E22"/>
    <w:rsid w:val="00B33976"/>
    <w:rsid w:val="00B339B9"/>
    <w:rsid w:val="00B34294"/>
    <w:rsid w:val="00B34BFA"/>
    <w:rsid w:val="00B356D0"/>
    <w:rsid w:val="00B36BFE"/>
    <w:rsid w:val="00B36D27"/>
    <w:rsid w:val="00B4118A"/>
    <w:rsid w:val="00B427A6"/>
    <w:rsid w:val="00B43437"/>
    <w:rsid w:val="00B439BB"/>
    <w:rsid w:val="00B465CB"/>
    <w:rsid w:val="00B46922"/>
    <w:rsid w:val="00B509F4"/>
    <w:rsid w:val="00B50C45"/>
    <w:rsid w:val="00B53FD4"/>
    <w:rsid w:val="00B5410A"/>
    <w:rsid w:val="00B54423"/>
    <w:rsid w:val="00B55350"/>
    <w:rsid w:val="00B5556C"/>
    <w:rsid w:val="00B55A83"/>
    <w:rsid w:val="00B57A9D"/>
    <w:rsid w:val="00B626F0"/>
    <w:rsid w:val="00B64025"/>
    <w:rsid w:val="00B640DB"/>
    <w:rsid w:val="00B65182"/>
    <w:rsid w:val="00B65E47"/>
    <w:rsid w:val="00B67CFC"/>
    <w:rsid w:val="00B715EA"/>
    <w:rsid w:val="00B723E4"/>
    <w:rsid w:val="00B7285E"/>
    <w:rsid w:val="00B72C06"/>
    <w:rsid w:val="00B73BFA"/>
    <w:rsid w:val="00B73FDF"/>
    <w:rsid w:val="00B75248"/>
    <w:rsid w:val="00B76563"/>
    <w:rsid w:val="00B76CBC"/>
    <w:rsid w:val="00B77576"/>
    <w:rsid w:val="00B81ED3"/>
    <w:rsid w:val="00B82230"/>
    <w:rsid w:val="00B83C1D"/>
    <w:rsid w:val="00B86BA5"/>
    <w:rsid w:val="00B86EEC"/>
    <w:rsid w:val="00B87379"/>
    <w:rsid w:val="00B9013C"/>
    <w:rsid w:val="00B90785"/>
    <w:rsid w:val="00B90958"/>
    <w:rsid w:val="00B90E4B"/>
    <w:rsid w:val="00B9189E"/>
    <w:rsid w:val="00B92A9B"/>
    <w:rsid w:val="00B9433F"/>
    <w:rsid w:val="00B957CA"/>
    <w:rsid w:val="00B965BB"/>
    <w:rsid w:val="00B9661C"/>
    <w:rsid w:val="00B96739"/>
    <w:rsid w:val="00B97CF7"/>
    <w:rsid w:val="00BA02FB"/>
    <w:rsid w:val="00BA17B4"/>
    <w:rsid w:val="00BA3062"/>
    <w:rsid w:val="00BA3322"/>
    <w:rsid w:val="00BA49CF"/>
    <w:rsid w:val="00BA5479"/>
    <w:rsid w:val="00BA5EBB"/>
    <w:rsid w:val="00BB068D"/>
    <w:rsid w:val="00BB1963"/>
    <w:rsid w:val="00BB4CD3"/>
    <w:rsid w:val="00BB5939"/>
    <w:rsid w:val="00BC0D7E"/>
    <w:rsid w:val="00BC1C87"/>
    <w:rsid w:val="00BC3881"/>
    <w:rsid w:val="00BC57CF"/>
    <w:rsid w:val="00BC5F2B"/>
    <w:rsid w:val="00BC7ABC"/>
    <w:rsid w:val="00BD08E1"/>
    <w:rsid w:val="00BD128C"/>
    <w:rsid w:val="00BD2998"/>
    <w:rsid w:val="00BD4107"/>
    <w:rsid w:val="00BD62CE"/>
    <w:rsid w:val="00BD64DC"/>
    <w:rsid w:val="00BD702C"/>
    <w:rsid w:val="00BE0997"/>
    <w:rsid w:val="00BE0D35"/>
    <w:rsid w:val="00BE15F7"/>
    <w:rsid w:val="00BE1F60"/>
    <w:rsid w:val="00BE22B6"/>
    <w:rsid w:val="00BE32AF"/>
    <w:rsid w:val="00BE3E32"/>
    <w:rsid w:val="00BE4F3D"/>
    <w:rsid w:val="00BE57A3"/>
    <w:rsid w:val="00BE5DB2"/>
    <w:rsid w:val="00BE6BAE"/>
    <w:rsid w:val="00BF06F3"/>
    <w:rsid w:val="00BF0988"/>
    <w:rsid w:val="00BF0A2F"/>
    <w:rsid w:val="00BF1B17"/>
    <w:rsid w:val="00BF2D98"/>
    <w:rsid w:val="00BF30FA"/>
    <w:rsid w:val="00BF428E"/>
    <w:rsid w:val="00BF6607"/>
    <w:rsid w:val="00BF66AD"/>
    <w:rsid w:val="00BF68BF"/>
    <w:rsid w:val="00BF6C14"/>
    <w:rsid w:val="00BF75AB"/>
    <w:rsid w:val="00C00546"/>
    <w:rsid w:val="00C00569"/>
    <w:rsid w:val="00C00DAA"/>
    <w:rsid w:val="00C0123E"/>
    <w:rsid w:val="00C01D4A"/>
    <w:rsid w:val="00C02782"/>
    <w:rsid w:val="00C029DF"/>
    <w:rsid w:val="00C038DF"/>
    <w:rsid w:val="00C04389"/>
    <w:rsid w:val="00C0701B"/>
    <w:rsid w:val="00C11478"/>
    <w:rsid w:val="00C12758"/>
    <w:rsid w:val="00C127F0"/>
    <w:rsid w:val="00C13DDE"/>
    <w:rsid w:val="00C16BC2"/>
    <w:rsid w:val="00C17E54"/>
    <w:rsid w:val="00C21997"/>
    <w:rsid w:val="00C22B43"/>
    <w:rsid w:val="00C23D37"/>
    <w:rsid w:val="00C25784"/>
    <w:rsid w:val="00C308AC"/>
    <w:rsid w:val="00C3126D"/>
    <w:rsid w:val="00C31FBC"/>
    <w:rsid w:val="00C32C50"/>
    <w:rsid w:val="00C340BD"/>
    <w:rsid w:val="00C3518E"/>
    <w:rsid w:val="00C36A91"/>
    <w:rsid w:val="00C37CE0"/>
    <w:rsid w:val="00C40C91"/>
    <w:rsid w:val="00C41042"/>
    <w:rsid w:val="00C4122C"/>
    <w:rsid w:val="00C4212B"/>
    <w:rsid w:val="00C433EF"/>
    <w:rsid w:val="00C442C6"/>
    <w:rsid w:val="00C457F6"/>
    <w:rsid w:val="00C46501"/>
    <w:rsid w:val="00C50069"/>
    <w:rsid w:val="00C5019D"/>
    <w:rsid w:val="00C51B64"/>
    <w:rsid w:val="00C5213E"/>
    <w:rsid w:val="00C54A69"/>
    <w:rsid w:val="00C62F44"/>
    <w:rsid w:val="00C63313"/>
    <w:rsid w:val="00C65598"/>
    <w:rsid w:val="00C65B5D"/>
    <w:rsid w:val="00C6625B"/>
    <w:rsid w:val="00C66605"/>
    <w:rsid w:val="00C675FC"/>
    <w:rsid w:val="00C6773A"/>
    <w:rsid w:val="00C71090"/>
    <w:rsid w:val="00C71855"/>
    <w:rsid w:val="00C7189D"/>
    <w:rsid w:val="00C71D06"/>
    <w:rsid w:val="00C727D8"/>
    <w:rsid w:val="00C72E8C"/>
    <w:rsid w:val="00C73564"/>
    <w:rsid w:val="00C73A60"/>
    <w:rsid w:val="00C77FC6"/>
    <w:rsid w:val="00C801BA"/>
    <w:rsid w:val="00C80B97"/>
    <w:rsid w:val="00C80C5E"/>
    <w:rsid w:val="00C80D10"/>
    <w:rsid w:val="00C81203"/>
    <w:rsid w:val="00C815F0"/>
    <w:rsid w:val="00C81954"/>
    <w:rsid w:val="00C82419"/>
    <w:rsid w:val="00C82E89"/>
    <w:rsid w:val="00C85806"/>
    <w:rsid w:val="00C868B8"/>
    <w:rsid w:val="00C900E0"/>
    <w:rsid w:val="00C9057C"/>
    <w:rsid w:val="00C90AF1"/>
    <w:rsid w:val="00C912FA"/>
    <w:rsid w:val="00C91CC3"/>
    <w:rsid w:val="00C9210F"/>
    <w:rsid w:val="00C93F85"/>
    <w:rsid w:val="00C94D43"/>
    <w:rsid w:val="00C973FE"/>
    <w:rsid w:val="00C97922"/>
    <w:rsid w:val="00CA1D4B"/>
    <w:rsid w:val="00CA2FA4"/>
    <w:rsid w:val="00CA3B99"/>
    <w:rsid w:val="00CA4111"/>
    <w:rsid w:val="00CA4719"/>
    <w:rsid w:val="00CA5D11"/>
    <w:rsid w:val="00CA5EA2"/>
    <w:rsid w:val="00CA64AC"/>
    <w:rsid w:val="00CA6951"/>
    <w:rsid w:val="00CA7033"/>
    <w:rsid w:val="00CB0F8A"/>
    <w:rsid w:val="00CB1E0F"/>
    <w:rsid w:val="00CB51CA"/>
    <w:rsid w:val="00CB6328"/>
    <w:rsid w:val="00CB7479"/>
    <w:rsid w:val="00CC0EE9"/>
    <w:rsid w:val="00CC2445"/>
    <w:rsid w:val="00CC4070"/>
    <w:rsid w:val="00CC423E"/>
    <w:rsid w:val="00CC5185"/>
    <w:rsid w:val="00CC7851"/>
    <w:rsid w:val="00CC78FA"/>
    <w:rsid w:val="00CD1441"/>
    <w:rsid w:val="00CD1ABC"/>
    <w:rsid w:val="00CD525E"/>
    <w:rsid w:val="00CD56AB"/>
    <w:rsid w:val="00CD6A88"/>
    <w:rsid w:val="00CD7796"/>
    <w:rsid w:val="00CD7EB6"/>
    <w:rsid w:val="00CE00D2"/>
    <w:rsid w:val="00CE00E0"/>
    <w:rsid w:val="00CE059E"/>
    <w:rsid w:val="00CE0EFF"/>
    <w:rsid w:val="00CE2820"/>
    <w:rsid w:val="00CE417E"/>
    <w:rsid w:val="00CE4A2D"/>
    <w:rsid w:val="00CE4D28"/>
    <w:rsid w:val="00CE74DF"/>
    <w:rsid w:val="00CF0F94"/>
    <w:rsid w:val="00CF3066"/>
    <w:rsid w:val="00CF4150"/>
    <w:rsid w:val="00D02B92"/>
    <w:rsid w:val="00D06AE6"/>
    <w:rsid w:val="00D072A0"/>
    <w:rsid w:val="00D103CE"/>
    <w:rsid w:val="00D10473"/>
    <w:rsid w:val="00D10A47"/>
    <w:rsid w:val="00D10D2F"/>
    <w:rsid w:val="00D1162C"/>
    <w:rsid w:val="00D12022"/>
    <w:rsid w:val="00D120A2"/>
    <w:rsid w:val="00D13038"/>
    <w:rsid w:val="00D14C4C"/>
    <w:rsid w:val="00D16DD6"/>
    <w:rsid w:val="00D17006"/>
    <w:rsid w:val="00D170FC"/>
    <w:rsid w:val="00D17309"/>
    <w:rsid w:val="00D20256"/>
    <w:rsid w:val="00D2392D"/>
    <w:rsid w:val="00D24BC8"/>
    <w:rsid w:val="00D25931"/>
    <w:rsid w:val="00D25991"/>
    <w:rsid w:val="00D25E81"/>
    <w:rsid w:val="00D2630F"/>
    <w:rsid w:val="00D27106"/>
    <w:rsid w:val="00D3028D"/>
    <w:rsid w:val="00D34905"/>
    <w:rsid w:val="00D35BF4"/>
    <w:rsid w:val="00D37988"/>
    <w:rsid w:val="00D43B38"/>
    <w:rsid w:val="00D506C8"/>
    <w:rsid w:val="00D52142"/>
    <w:rsid w:val="00D52529"/>
    <w:rsid w:val="00D536F3"/>
    <w:rsid w:val="00D558CE"/>
    <w:rsid w:val="00D578D2"/>
    <w:rsid w:val="00D57BA9"/>
    <w:rsid w:val="00D60E04"/>
    <w:rsid w:val="00D6105F"/>
    <w:rsid w:val="00D61609"/>
    <w:rsid w:val="00D617F8"/>
    <w:rsid w:val="00D63322"/>
    <w:rsid w:val="00D635A5"/>
    <w:rsid w:val="00D646DD"/>
    <w:rsid w:val="00D648E0"/>
    <w:rsid w:val="00D64E35"/>
    <w:rsid w:val="00D652BF"/>
    <w:rsid w:val="00D65845"/>
    <w:rsid w:val="00D677CD"/>
    <w:rsid w:val="00D67D0F"/>
    <w:rsid w:val="00D722F6"/>
    <w:rsid w:val="00D730CE"/>
    <w:rsid w:val="00D74B49"/>
    <w:rsid w:val="00D74E15"/>
    <w:rsid w:val="00D75445"/>
    <w:rsid w:val="00D75D69"/>
    <w:rsid w:val="00D81FC8"/>
    <w:rsid w:val="00D829CB"/>
    <w:rsid w:val="00D83192"/>
    <w:rsid w:val="00D836EE"/>
    <w:rsid w:val="00D83A31"/>
    <w:rsid w:val="00D83D00"/>
    <w:rsid w:val="00D85EAA"/>
    <w:rsid w:val="00D863D8"/>
    <w:rsid w:val="00D86678"/>
    <w:rsid w:val="00D872FA"/>
    <w:rsid w:val="00D87540"/>
    <w:rsid w:val="00D87587"/>
    <w:rsid w:val="00D90C54"/>
    <w:rsid w:val="00D92657"/>
    <w:rsid w:val="00D92AF9"/>
    <w:rsid w:val="00D934B7"/>
    <w:rsid w:val="00D963E0"/>
    <w:rsid w:val="00D96769"/>
    <w:rsid w:val="00D97C33"/>
    <w:rsid w:val="00DA3E20"/>
    <w:rsid w:val="00DA5003"/>
    <w:rsid w:val="00DA5585"/>
    <w:rsid w:val="00DA5F51"/>
    <w:rsid w:val="00DA69F9"/>
    <w:rsid w:val="00DB1146"/>
    <w:rsid w:val="00DB420F"/>
    <w:rsid w:val="00DB7181"/>
    <w:rsid w:val="00DB7C32"/>
    <w:rsid w:val="00DB7DAD"/>
    <w:rsid w:val="00DC2E74"/>
    <w:rsid w:val="00DC4174"/>
    <w:rsid w:val="00DC51BE"/>
    <w:rsid w:val="00DC5B43"/>
    <w:rsid w:val="00DC6224"/>
    <w:rsid w:val="00DC69C1"/>
    <w:rsid w:val="00DC6AF5"/>
    <w:rsid w:val="00DC7FA1"/>
    <w:rsid w:val="00DD3283"/>
    <w:rsid w:val="00DD495E"/>
    <w:rsid w:val="00DD57B0"/>
    <w:rsid w:val="00DD5EC4"/>
    <w:rsid w:val="00DD624D"/>
    <w:rsid w:val="00DD7884"/>
    <w:rsid w:val="00DD7C0F"/>
    <w:rsid w:val="00DE0123"/>
    <w:rsid w:val="00DE063C"/>
    <w:rsid w:val="00DE15B2"/>
    <w:rsid w:val="00DE51AC"/>
    <w:rsid w:val="00DE7CBB"/>
    <w:rsid w:val="00DF0D93"/>
    <w:rsid w:val="00DF1F2F"/>
    <w:rsid w:val="00DF3841"/>
    <w:rsid w:val="00DF4BFD"/>
    <w:rsid w:val="00DF4FDB"/>
    <w:rsid w:val="00DF5A5B"/>
    <w:rsid w:val="00DF662C"/>
    <w:rsid w:val="00DF7123"/>
    <w:rsid w:val="00E00631"/>
    <w:rsid w:val="00E015C9"/>
    <w:rsid w:val="00E01626"/>
    <w:rsid w:val="00E04B13"/>
    <w:rsid w:val="00E04EDA"/>
    <w:rsid w:val="00E06160"/>
    <w:rsid w:val="00E06A75"/>
    <w:rsid w:val="00E0739E"/>
    <w:rsid w:val="00E11740"/>
    <w:rsid w:val="00E122CB"/>
    <w:rsid w:val="00E12EF5"/>
    <w:rsid w:val="00E130F1"/>
    <w:rsid w:val="00E134A7"/>
    <w:rsid w:val="00E1410A"/>
    <w:rsid w:val="00E16A54"/>
    <w:rsid w:val="00E17223"/>
    <w:rsid w:val="00E17DED"/>
    <w:rsid w:val="00E20188"/>
    <w:rsid w:val="00E20CDD"/>
    <w:rsid w:val="00E210AA"/>
    <w:rsid w:val="00E22448"/>
    <w:rsid w:val="00E23165"/>
    <w:rsid w:val="00E244C8"/>
    <w:rsid w:val="00E2587B"/>
    <w:rsid w:val="00E25E52"/>
    <w:rsid w:val="00E26372"/>
    <w:rsid w:val="00E26F3F"/>
    <w:rsid w:val="00E3155B"/>
    <w:rsid w:val="00E31AEB"/>
    <w:rsid w:val="00E31C04"/>
    <w:rsid w:val="00E3346C"/>
    <w:rsid w:val="00E33A2A"/>
    <w:rsid w:val="00E33C3B"/>
    <w:rsid w:val="00E353D0"/>
    <w:rsid w:val="00E3556A"/>
    <w:rsid w:val="00E35654"/>
    <w:rsid w:val="00E35FD9"/>
    <w:rsid w:val="00E3694E"/>
    <w:rsid w:val="00E36D20"/>
    <w:rsid w:val="00E439F4"/>
    <w:rsid w:val="00E439F6"/>
    <w:rsid w:val="00E457F6"/>
    <w:rsid w:val="00E45C57"/>
    <w:rsid w:val="00E45CD6"/>
    <w:rsid w:val="00E46106"/>
    <w:rsid w:val="00E475DF"/>
    <w:rsid w:val="00E50439"/>
    <w:rsid w:val="00E50C17"/>
    <w:rsid w:val="00E50C45"/>
    <w:rsid w:val="00E54FA1"/>
    <w:rsid w:val="00E55EAF"/>
    <w:rsid w:val="00E56245"/>
    <w:rsid w:val="00E573E3"/>
    <w:rsid w:val="00E6019C"/>
    <w:rsid w:val="00E60BED"/>
    <w:rsid w:val="00E6135C"/>
    <w:rsid w:val="00E61D93"/>
    <w:rsid w:val="00E623AC"/>
    <w:rsid w:val="00E632FF"/>
    <w:rsid w:val="00E644B0"/>
    <w:rsid w:val="00E65984"/>
    <w:rsid w:val="00E703CD"/>
    <w:rsid w:val="00E70BF6"/>
    <w:rsid w:val="00E71F31"/>
    <w:rsid w:val="00E72489"/>
    <w:rsid w:val="00E72AEC"/>
    <w:rsid w:val="00E72FC2"/>
    <w:rsid w:val="00E73BB8"/>
    <w:rsid w:val="00E74486"/>
    <w:rsid w:val="00E767FB"/>
    <w:rsid w:val="00E76BE6"/>
    <w:rsid w:val="00E80F71"/>
    <w:rsid w:val="00E810DA"/>
    <w:rsid w:val="00E8384C"/>
    <w:rsid w:val="00E85429"/>
    <w:rsid w:val="00E8613E"/>
    <w:rsid w:val="00E874F6"/>
    <w:rsid w:val="00E907F0"/>
    <w:rsid w:val="00E90972"/>
    <w:rsid w:val="00E9130A"/>
    <w:rsid w:val="00E963C4"/>
    <w:rsid w:val="00E97E90"/>
    <w:rsid w:val="00EA380C"/>
    <w:rsid w:val="00EA48E2"/>
    <w:rsid w:val="00EA550F"/>
    <w:rsid w:val="00EA5575"/>
    <w:rsid w:val="00EA635C"/>
    <w:rsid w:val="00EA686F"/>
    <w:rsid w:val="00EA69BD"/>
    <w:rsid w:val="00EA711C"/>
    <w:rsid w:val="00EB571D"/>
    <w:rsid w:val="00EB7CCD"/>
    <w:rsid w:val="00EC07A3"/>
    <w:rsid w:val="00EC2B18"/>
    <w:rsid w:val="00EC3D4E"/>
    <w:rsid w:val="00EC6825"/>
    <w:rsid w:val="00EC69DA"/>
    <w:rsid w:val="00ED3D37"/>
    <w:rsid w:val="00ED595C"/>
    <w:rsid w:val="00ED6CEB"/>
    <w:rsid w:val="00EE0BAB"/>
    <w:rsid w:val="00EE1100"/>
    <w:rsid w:val="00EE1756"/>
    <w:rsid w:val="00EE1CBF"/>
    <w:rsid w:val="00EE2D0C"/>
    <w:rsid w:val="00EE33F4"/>
    <w:rsid w:val="00EE3EFB"/>
    <w:rsid w:val="00EE567C"/>
    <w:rsid w:val="00EE6007"/>
    <w:rsid w:val="00EE79D2"/>
    <w:rsid w:val="00EF10B3"/>
    <w:rsid w:val="00EF136B"/>
    <w:rsid w:val="00EF3137"/>
    <w:rsid w:val="00EF354C"/>
    <w:rsid w:val="00EF52BA"/>
    <w:rsid w:val="00EF5759"/>
    <w:rsid w:val="00EF5D58"/>
    <w:rsid w:val="00EF64D6"/>
    <w:rsid w:val="00F01BED"/>
    <w:rsid w:val="00F01C43"/>
    <w:rsid w:val="00F027FE"/>
    <w:rsid w:val="00F037B8"/>
    <w:rsid w:val="00F075AA"/>
    <w:rsid w:val="00F1253B"/>
    <w:rsid w:val="00F1257C"/>
    <w:rsid w:val="00F14465"/>
    <w:rsid w:val="00F14768"/>
    <w:rsid w:val="00F16161"/>
    <w:rsid w:val="00F16356"/>
    <w:rsid w:val="00F16CCE"/>
    <w:rsid w:val="00F20290"/>
    <w:rsid w:val="00F21CA4"/>
    <w:rsid w:val="00F23423"/>
    <w:rsid w:val="00F24C1D"/>
    <w:rsid w:val="00F24F46"/>
    <w:rsid w:val="00F255BE"/>
    <w:rsid w:val="00F25667"/>
    <w:rsid w:val="00F25B46"/>
    <w:rsid w:val="00F260C9"/>
    <w:rsid w:val="00F324CC"/>
    <w:rsid w:val="00F33242"/>
    <w:rsid w:val="00F33B83"/>
    <w:rsid w:val="00F3561F"/>
    <w:rsid w:val="00F3573E"/>
    <w:rsid w:val="00F3581E"/>
    <w:rsid w:val="00F363E7"/>
    <w:rsid w:val="00F46F4B"/>
    <w:rsid w:val="00F47A8B"/>
    <w:rsid w:val="00F52DC7"/>
    <w:rsid w:val="00F53D63"/>
    <w:rsid w:val="00F57EA6"/>
    <w:rsid w:val="00F60F36"/>
    <w:rsid w:val="00F626AC"/>
    <w:rsid w:val="00F62A64"/>
    <w:rsid w:val="00F632E5"/>
    <w:rsid w:val="00F6406C"/>
    <w:rsid w:val="00F643BE"/>
    <w:rsid w:val="00F65C99"/>
    <w:rsid w:val="00F70193"/>
    <w:rsid w:val="00F817BD"/>
    <w:rsid w:val="00F83165"/>
    <w:rsid w:val="00F83F39"/>
    <w:rsid w:val="00F8683C"/>
    <w:rsid w:val="00F87EF8"/>
    <w:rsid w:val="00F90F10"/>
    <w:rsid w:val="00F928E4"/>
    <w:rsid w:val="00F92C5E"/>
    <w:rsid w:val="00F940BC"/>
    <w:rsid w:val="00F950CB"/>
    <w:rsid w:val="00F9550C"/>
    <w:rsid w:val="00F9584A"/>
    <w:rsid w:val="00F97279"/>
    <w:rsid w:val="00FA06F6"/>
    <w:rsid w:val="00FA0D7A"/>
    <w:rsid w:val="00FA105A"/>
    <w:rsid w:val="00FA19CE"/>
    <w:rsid w:val="00FA33F1"/>
    <w:rsid w:val="00FA4749"/>
    <w:rsid w:val="00FA4950"/>
    <w:rsid w:val="00FA5652"/>
    <w:rsid w:val="00FB16C0"/>
    <w:rsid w:val="00FB351E"/>
    <w:rsid w:val="00FB36E2"/>
    <w:rsid w:val="00FB452F"/>
    <w:rsid w:val="00FB6628"/>
    <w:rsid w:val="00FB7C82"/>
    <w:rsid w:val="00FC016B"/>
    <w:rsid w:val="00FC0F64"/>
    <w:rsid w:val="00FC11C8"/>
    <w:rsid w:val="00FC4169"/>
    <w:rsid w:val="00FC4575"/>
    <w:rsid w:val="00FC730B"/>
    <w:rsid w:val="00FC79D8"/>
    <w:rsid w:val="00FD078D"/>
    <w:rsid w:val="00FD1878"/>
    <w:rsid w:val="00FD24E5"/>
    <w:rsid w:val="00FD4A19"/>
    <w:rsid w:val="00FD50CC"/>
    <w:rsid w:val="00FD5FEF"/>
    <w:rsid w:val="00FD78D9"/>
    <w:rsid w:val="00FE1983"/>
    <w:rsid w:val="00FE1ED3"/>
    <w:rsid w:val="00FE1F7B"/>
    <w:rsid w:val="00FE222B"/>
    <w:rsid w:val="00FF0460"/>
    <w:rsid w:val="00FF1EC4"/>
    <w:rsid w:val="00FF2005"/>
    <w:rsid w:val="00FF31B4"/>
    <w:rsid w:val="00FF3DD6"/>
    <w:rsid w:val="00FF4CF8"/>
    <w:rsid w:val="00FF58ED"/>
    <w:rsid w:val="00FF5A16"/>
    <w:rsid w:val="00FF5F46"/>
    <w:rsid w:val="00FF7463"/>
    <w:rsid w:val="00FF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1C636"/>
  <w15:chartTrackingRefBased/>
  <w15:docId w15:val="{2B9A3EE1-6F2F-4F3A-B1AF-425347C5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A69"/>
    <w:pPr>
      <w:spacing w:before="120" w:after="280" w:line="256" w:lineRule="auto"/>
    </w:pPr>
    <w:rPr>
      <w:rFonts w:ascii="Arial" w:hAnsi="Arial"/>
      <w:kern w:val="0"/>
      <w14:ligatures w14:val="none"/>
    </w:rPr>
  </w:style>
  <w:style w:type="paragraph" w:styleId="Heading1">
    <w:name w:val="heading 1"/>
    <w:basedOn w:val="Normal"/>
    <w:next w:val="Normal"/>
    <w:link w:val="Heading1Char"/>
    <w:autoRedefine/>
    <w:uiPriority w:val="9"/>
    <w:qFormat/>
    <w:rsid w:val="001732FF"/>
    <w:pPr>
      <w:keepNext/>
      <w:keepLines/>
      <w:spacing w:before="360" w:after="120"/>
      <w:outlineLvl w:val="0"/>
    </w:pPr>
    <w:rPr>
      <w:rFonts w:asciiTheme="majorHAnsi" w:eastAsiaTheme="majorEastAsia" w:hAnsiTheme="majorHAnsi" w:cstheme="majorBidi"/>
      <w:b/>
      <w:sz w:val="32"/>
      <w:szCs w:val="32"/>
    </w:rPr>
  </w:style>
  <w:style w:type="paragraph" w:styleId="Heading2">
    <w:name w:val="heading 2"/>
    <w:basedOn w:val="Normal"/>
    <w:link w:val="Heading2Char"/>
    <w:autoRedefine/>
    <w:uiPriority w:val="9"/>
    <w:unhideWhenUsed/>
    <w:qFormat/>
    <w:rsid w:val="00612116"/>
    <w:pPr>
      <w:outlineLvl w:val="1"/>
    </w:pPr>
    <w:rPr>
      <w:b/>
      <w:bCs/>
      <w:u w:color="000000"/>
    </w:rPr>
  </w:style>
  <w:style w:type="paragraph" w:styleId="Heading3">
    <w:name w:val="heading 3"/>
    <w:basedOn w:val="Normal"/>
    <w:next w:val="Normal"/>
    <w:link w:val="Heading3Char"/>
    <w:autoRedefine/>
    <w:uiPriority w:val="9"/>
    <w:unhideWhenUsed/>
    <w:qFormat/>
    <w:rsid w:val="00110A1E"/>
    <w:pPr>
      <w:keepNext/>
      <w:keepLines/>
      <w:widowControl w:val="0"/>
      <w:numPr>
        <w:numId w:val="3"/>
      </w:numPr>
      <w:autoSpaceDE w:val="0"/>
      <w:autoSpaceDN w:val="0"/>
      <w:spacing w:before="40" w:after="0" w:line="240" w:lineRule="auto"/>
      <w:outlineLvl w:val="2"/>
    </w:pPr>
    <w:rPr>
      <w:rFonts w:eastAsiaTheme="majorEastAsia" w:cstheme="majorBidi"/>
      <w:kern w:val="2"/>
      <w:szCs w:val="24"/>
      <w:u w:val="single"/>
      <w:lang w:bidi="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2116"/>
    <w:rPr>
      <w:rFonts w:ascii="Arial" w:hAnsi="Arial"/>
      <w:b/>
      <w:bCs/>
      <w:kern w:val="0"/>
      <w:u w:color="000000"/>
      <w14:ligatures w14:val="none"/>
    </w:rPr>
  </w:style>
  <w:style w:type="character" w:customStyle="1" w:styleId="Heading1Char">
    <w:name w:val="Heading 1 Char"/>
    <w:basedOn w:val="DefaultParagraphFont"/>
    <w:link w:val="Heading1"/>
    <w:uiPriority w:val="9"/>
    <w:rsid w:val="001732FF"/>
    <w:rPr>
      <w:rFonts w:asciiTheme="majorHAnsi" w:eastAsiaTheme="majorEastAsia" w:hAnsiTheme="majorHAnsi" w:cstheme="majorBidi"/>
      <w:b/>
      <w:kern w:val="0"/>
      <w:sz w:val="32"/>
      <w:szCs w:val="32"/>
      <w14:ligatures w14:val="none"/>
    </w:rPr>
  </w:style>
  <w:style w:type="character" w:customStyle="1" w:styleId="Heading3Char">
    <w:name w:val="Heading 3 Char"/>
    <w:basedOn w:val="DefaultParagraphFont"/>
    <w:link w:val="Heading3"/>
    <w:uiPriority w:val="9"/>
    <w:rsid w:val="00110A1E"/>
    <w:rPr>
      <w:rFonts w:ascii="Arial" w:eastAsiaTheme="majorEastAsia" w:hAnsi="Arial" w:cstheme="majorBidi"/>
      <w:szCs w:val="24"/>
      <w:u w:val="single"/>
      <w:lang w:bidi="en-US"/>
    </w:rPr>
  </w:style>
  <w:style w:type="paragraph" w:styleId="BodyText">
    <w:name w:val="Body Text"/>
    <w:basedOn w:val="Normal"/>
    <w:link w:val="BodyTextChar"/>
    <w:autoRedefine/>
    <w:uiPriority w:val="1"/>
    <w:qFormat/>
    <w:rsid w:val="00C73A60"/>
    <w:pPr>
      <w:widowControl w:val="0"/>
      <w:autoSpaceDE w:val="0"/>
      <w:autoSpaceDN w:val="0"/>
      <w:spacing w:before="0" w:after="0" w:line="240" w:lineRule="auto"/>
    </w:pPr>
    <w:rPr>
      <w:rFonts w:eastAsia="Times New Roman" w:cs="Times New Roman"/>
      <w:szCs w:val="24"/>
      <w:lang w:eastAsia="en-US" w:bidi="en-US"/>
    </w:rPr>
  </w:style>
  <w:style w:type="character" w:customStyle="1" w:styleId="BodyTextChar">
    <w:name w:val="Body Text Char"/>
    <w:basedOn w:val="DefaultParagraphFont"/>
    <w:link w:val="BodyText"/>
    <w:uiPriority w:val="1"/>
    <w:rsid w:val="00C73A60"/>
    <w:rPr>
      <w:rFonts w:ascii="Arial" w:eastAsia="Times New Roman" w:hAnsi="Arial" w:cs="Times New Roman"/>
      <w:kern w:val="0"/>
      <w:szCs w:val="24"/>
      <w:lang w:eastAsia="en-US" w:bidi="en-US"/>
      <w14:ligatures w14:val="none"/>
    </w:rPr>
  </w:style>
  <w:style w:type="paragraph" w:customStyle="1" w:styleId="TableParagraph">
    <w:name w:val="Table Paragraph"/>
    <w:basedOn w:val="Normal"/>
    <w:autoRedefine/>
    <w:uiPriority w:val="1"/>
    <w:qFormat/>
    <w:rsid w:val="00666C48"/>
  </w:style>
  <w:style w:type="paragraph" w:styleId="FootnoteText">
    <w:name w:val="footnote text"/>
    <w:basedOn w:val="Normal"/>
    <w:link w:val="FootnoteTextChar"/>
    <w:uiPriority w:val="99"/>
    <w:semiHidden/>
    <w:unhideWhenUsed/>
    <w:rsid w:val="00D1162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1162C"/>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D1162C"/>
    <w:rPr>
      <w:vertAlign w:val="superscript"/>
    </w:rPr>
  </w:style>
  <w:style w:type="character" w:styleId="Hyperlink">
    <w:name w:val="Hyperlink"/>
    <w:basedOn w:val="DefaultParagraphFont"/>
    <w:uiPriority w:val="99"/>
    <w:unhideWhenUsed/>
    <w:rsid w:val="00D1162C"/>
    <w:rPr>
      <w:color w:val="0563C1" w:themeColor="hyperlink"/>
      <w:u w:val="single"/>
    </w:rPr>
  </w:style>
  <w:style w:type="table" w:styleId="TableGrid">
    <w:name w:val="Table Grid"/>
    <w:basedOn w:val="TableNormal"/>
    <w:uiPriority w:val="39"/>
    <w:rsid w:val="00766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6503"/>
    <w:rPr>
      <w:sz w:val="16"/>
      <w:szCs w:val="16"/>
    </w:rPr>
  </w:style>
  <w:style w:type="paragraph" w:styleId="CommentText">
    <w:name w:val="annotation text"/>
    <w:basedOn w:val="Normal"/>
    <w:link w:val="CommentTextChar"/>
    <w:uiPriority w:val="99"/>
    <w:unhideWhenUsed/>
    <w:rsid w:val="00766503"/>
    <w:pPr>
      <w:spacing w:line="240" w:lineRule="auto"/>
    </w:pPr>
    <w:rPr>
      <w:sz w:val="20"/>
      <w:szCs w:val="20"/>
    </w:rPr>
  </w:style>
  <w:style w:type="character" w:customStyle="1" w:styleId="CommentTextChar">
    <w:name w:val="Comment Text Char"/>
    <w:basedOn w:val="DefaultParagraphFont"/>
    <w:link w:val="CommentText"/>
    <w:uiPriority w:val="99"/>
    <w:rsid w:val="00766503"/>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6503"/>
    <w:rPr>
      <w:b/>
      <w:bCs/>
    </w:rPr>
  </w:style>
  <w:style w:type="character" w:customStyle="1" w:styleId="CommentSubjectChar">
    <w:name w:val="Comment Subject Char"/>
    <w:basedOn w:val="CommentTextChar"/>
    <w:link w:val="CommentSubject"/>
    <w:uiPriority w:val="99"/>
    <w:semiHidden/>
    <w:rsid w:val="00766503"/>
    <w:rPr>
      <w:rFonts w:ascii="Arial" w:hAnsi="Arial"/>
      <w:b/>
      <w:bCs/>
      <w:kern w:val="0"/>
      <w:sz w:val="20"/>
      <w:szCs w:val="20"/>
      <w14:ligatures w14:val="none"/>
    </w:rPr>
  </w:style>
  <w:style w:type="paragraph" w:styleId="ListParagraph">
    <w:name w:val="List Paragraph"/>
    <w:basedOn w:val="Normal"/>
    <w:uiPriority w:val="34"/>
    <w:qFormat/>
    <w:rsid w:val="003D6AD6"/>
    <w:pPr>
      <w:spacing w:line="259" w:lineRule="auto"/>
      <w:ind w:left="720"/>
      <w:contextualSpacing/>
    </w:pPr>
  </w:style>
  <w:style w:type="paragraph" w:styleId="Header">
    <w:name w:val="header"/>
    <w:basedOn w:val="Normal"/>
    <w:link w:val="HeaderChar"/>
    <w:uiPriority w:val="99"/>
    <w:unhideWhenUsed/>
    <w:rsid w:val="00B3067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3067E"/>
    <w:rPr>
      <w:rFonts w:ascii="Arial" w:hAnsi="Arial"/>
      <w:kern w:val="0"/>
      <w14:ligatures w14:val="none"/>
    </w:rPr>
  </w:style>
  <w:style w:type="paragraph" w:styleId="Footer">
    <w:name w:val="footer"/>
    <w:basedOn w:val="Normal"/>
    <w:link w:val="FooterChar"/>
    <w:uiPriority w:val="99"/>
    <w:unhideWhenUsed/>
    <w:rsid w:val="00B3067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3067E"/>
    <w:rPr>
      <w:rFonts w:ascii="Arial" w:hAnsi="Arial"/>
      <w:kern w:val="0"/>
      <w14:ligatures w14:val="none"/>
    </w:rPr>
  </w:style>
  <w:style w:type="paragraph" w:customStyle="1" w:styleId="indent-1">
    <w:name w:val="indent-1"/>
    <w:basedOn w:val="Normal"/>
    <w:rsid w:val="00C421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C42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C4212B"/>
  </w:style>
  <w:style w:type="character" w:customStyle="1" w:styleId="paren">
    <w:name w:val="paren"/>
    <w:basedOn w:val="DefaultParagraphFont"/>
    <w:rsid w:val="00C4212B"/>
  </w:style>
  <w:style w:type="paragraph" w:customStyle="1" w:styleId="indent-3">
    <w:name w:val="indent-3"/>
    <w:basedOn w:val="Normal"/>
    <w:rsid w:val="00C4212B"/>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64D81"/>
    <w:pPr>
      <w:spacing w:before="240" w:after="0" w:line="259" w:lineRule="auto"/>
      <w:outlineLvl w:val="9"/>
    </w:pPr>
    <w:rPr>
      <w:b w:val="0"/>
      <w:color w:val="2F5496" w:themeColor="accent1" w:themeShade="BF"/>
      <w:lang w:eastAsia="en-US"/>
    </w:rPr>
  </w:style>
  <w:style w:type="paragraph" w:styleId="TOC1">
    <w:name w:val="toc 1"/>
    <w:basedOn w:val="Normal"/>
    <w:next w:val="Normal"/>
    <w:autoRedefine/>
    <w:uiPriority w:val="39"/>
    <w:unhideWhenUsed/>
    <w:rsid w:val="00993E69"/>
    <w:pPr>
      <w:tabs>
        <w:tab w:val="right" w:leader="dot" w:pos="9350"/>
      </w:tabs>
      <w:spacing w:after="100"/>
    </w:pPr>
  </w:style>
  <w:style w:type="character" w:styleId="UnresolvedMention">
    <w:name w:val="Unresolved Mention"/>
    <w:basedOn w:val="DefaultParagraphFont"/>
    <w:uiPriority w:val="99"/>
    <w:semiHidden/>
    <w:unhideWhenUsed/>
    <w:rsid w:val="004F65A9"/>
    <w:rPr>
      <w:color w:val="605E5C"/>
      <w:shd w:val="clear" w:color="auto" w:fill="E1DFDD"/>
    </w:rPr>
  </w:style>
  <w:style w:type="character" w:styleId="FollowedHyperlink">
    <w:name w:val="FollowedHyperlink"/>
    <w:basedOn w:val="DefaultParagraphFont"/>
    <w:uiPriority w:val="99"/>
    <w:semiHidden/>
    <w:unhideWhenUsed/>
    <w:rsid w:val="00726A10"/>
    <w:rPr>
      <w:color w:val="954F72" w:themeColor="followedHyperlink"/>
      <w:u w:val="single"/>
    </w:rPr>
  </w:style>
  <w:style w:type="paragraph" w:styleId="NormalWeb">
    <w:name w:val="Normal (Web)"/>
    <w:basedOn w:val="Normal"/>
    <w:uiPriority w:val="99"/>
    <w:semiHidden/>
    <w:unhideWhenUsed/>
    <w:rsid w:val="00956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654216"/>
  </w:style>
  <w:style w:type="paragraph" w:styleId="TOC2">
    <w:name w:val="toc 2"/>
    <w:basedOn w:val="Normal"/>
    <w:next w:val="Normal"/>
    <w:autoRedefine/>
    <w:uiPriority w:val="39"/>
    <w:unhideWhenUsed/>
    <w:rsid w:val="00110374"/>
    <w:pPr>
      <w:spacing w:after="100"/>
      <w:ind w:left="220"/>
    </w:pPr>
  </w:style>
  <w:style w:type="paragraph" w:styleId="TOC3">
    <w:name w:val="toc 3"/>
    <w:basedOn w:val="Normal"/>
    <w:next w:val="Normal"/>
    <w:autoRedefine/>
    <w:uiPriority w:val="39"/>
    <w:unhideWhenUsed/>
    <w:rsid w:val="00993E69"/>
    <w:pPr>
      <w:tabs>
        <w:tab w:val="left" w:pos="880"/>
        <w:tab w:val="right" w:leader="dot" w:pos="9350"/>
      </w:tabs>
      <w:spacing w:after="100"/>
      <w:ind w:left="440"/>
    </w:pPr>
  </w:style>
  <w:style w:type="paragraph" w:styleId="Revision">
    <w:name w:val="Revision"/>
    <w:hidden/>
    <w:uiPriority w:val="99"/>
    <w:semiHidden/>
    <w:rsid w:val="00E3346C"/>
    <w:pPr>
      <w:spacing w:after="0" w:line="240" w:lineRule="auto"/>
    </w:pPr>
    <w:rPr>
      <w:rFonts w:ascii="Arial" w:hAnsi="Arial"/>
      <w:kern w:val="0"/>
      <w14:ligatures w14:val="none"/>
    </w:rPr>
  </w:style>
  <w:style w:type="character" w:customStyle="1" w:styleId="cf01">
    <w:name w:val="cf01"/>
    <w:basedOn w:val="DefaultParagraphFont"/>
    <w:rsid w:val="00E3346C"/>
    <w:rPr>
      <w:rFonts w:ascii="Segoe UI" w:hAnsi="Segoe UI" w:cs="Segoe UI" w:hint="default"/>
      <w:color w:val="382F20"/>
      <w:sz w:val="18"/>
      <w:szCs w:val="18"/>
    </w:rPr>
  </w:style>
  <w:style w:type="character" w:customStyle="1" w:styleId="cf11">
    <w:name w:val="cf11"/>
    <w:basedOn w:val="DefaultParagraphFont"/>
    <w:rsid w:val="00E3346C"/>
    <w:rPr>
      <w:rFonts w:ascii="Segoe UI" w:hAnsi="Segoe UI" w:cs="Segoe UI" w:hint="default"/>
      <w:sz w:val="18"/>
      <w:szCs w:val="18"/>
    </w:rPr>
  </w:style>
  <w:style w:type="character" w:styleId="Emphasis">
    <w:name w:val="Emphasis"/>
    <w:basedOn w:val="DefaultParagraphFont"/>
    <w:uiPriority w:val="20"/>
    <w:qFormat/>
    <w:rsid w:val="00046DDA"/>
    <w:rPr>
      <w:i/>
      <w:iCs/>
    </w:rPr>
  </w:style>
  <w:style w:type="paragraph" w:styleId="BalloonText">
    <w:name w:val="Balloon Text"/>
    <w:basedOn w:val="Normal"/>
    <w:link w:val="BalloonTextChar"/>
    <w:uiPriority w:val="99"/>
    <w:semiHidden/>
    <w:unhideWhenUsed/>
    <w:rsid w:val="00D6105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05F"/>
    <w:rPr>
      <w:rFonts w:ascii="Segoe UI" w:hAnsi="Segoe UI" w:cs="Segoe UI"/>
      <w:kern w:val="0"/>
      <w:sz w:val="18"/>
      <w:szCs w:val="18"/>
      <w14:ligatures w14:val="none"/>
    </w:rPr>
  </w:style>
  <w:style w:type="paragraph" w:customStyle="1" w:styleId="pf0">
    <w:name w:val="pf0"/>
    <w:basedOn w:val="Normal"/>
    <w:rsid w:val="00B90785"/>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GridTable1Light-Accent1">
    <w:name w:val="Grid Table 1 Light Accent 1"/>
    <w:basedOn w:val="TableNormal"/>
    <w:uiPriority w:val="46"/>
    <w:rsid w:val="00C80D10"/>
    <w:pPr>
      <w:spacing w:after="0" w:line="240" w:lineRule="auto"/>
    </w:pPr>
    <w:rPr>
      <w:sz w:val="24"/>
      <w:szCs w:val="24"/>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style>
  <w:style w:type="character" w:styleId="Strong">
    <w:name w:val="Strong"/>
    <w:basedOn w:val="DefaultParagraphFont"/>
    <w:uiPriority w:val="22"/>
    <w:qFormat/>
    <w:rsid w:val="00654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641">
      <w:bodyDiv w:val="1"/>
      <w:marLeft w:val="0"/>
      <w:marRight w:val="0"/>
      <w:marTop w:val="0"/>
      <w:marBottom w:val="0"/>
      <w:divBdr>
        <w:top w:val="none" w:sz="0" w:space="0" w:color="auto"/>
        <w:left w:val="none" w:sz="0" w:space="0" w:color="auto"/>
        <w:bottom w:val="none" w:sz="0" w:space="0" w:color="auto"/>
        <w:right w:val="none" w:sz="0" w:space="0" w:color="auto"/>
      </w:divBdr>
    </w:div>
    <w:div w:id="8258756">
      <w:bodyDiv w:val="1"/>
      <w:marLeft w:val="0"/>
      <w:marRight w:val="0"/>
      <w:marTop w:val="0"/>
      <w:marBottom w:val="0"/>
      <w:divBdr>
        <w:top w:val="none" w:sz="0" w:space="0" w:color="auto"/>
        <w:left w:val="none" w:sz="0" w:space="0" w:color="auto"/>
        <w:bottom w:val="none" w:sz="0" w:space="0" w:color="auto"/>
        <w:right w:val="none" w:sz="0" w:space="0" w:color="auto"/>
      </w:divBdr>
    </w:div>
    <w:div w:id="596401924">
      <w:bodyDiv w:val="1"/>
      <w:marLeft w:val="0"/>
      <w:marRight w:val="0"/>
      <w:marTop w:val="0"/>
      <w:marBottom w:val="0"/>
      <w:divBdr>
        <w:top w:val="none" w:sz="0" w:space="0" w:color="auto"/>
        <w:left w:val="none" w:sz="0" w:space="0" w:color="auto"/>
        <w:bottom w:val="none" w:sz="0" w:space="0" w:color="auto"/>
        <w:right w:val="none" w:sz="0" w:space="0" w:color="auto"/>
      </w:divBdr>
    </w:div>
    <w:div w:id="685139326">
      <w:bodyDiv w:val="1"/>
      <w:marLeft w:val="0"/>
      <w:marRight w:val="0"/>
      <w:marTop w:val="0"/>
      <w:marBottom w:val="0"/>
      <w:divBdr>
        <w:top w:val="none" w:sz="0" w:space="0" w:color="auto"/>
        <w:left w:val="none" w:sz="0" w:space="0" w:color="auto"/>
        <w:bottom w:val="none" w:sz="0" w:space="0" w:color="auto"/>
        <w:right w:val="none" w:sz="0" w:space="0" w:color="auto"/>
      </w:divBdr>
    </w:div>
    <w:div w:id="745343644">
      <w:bodyDiv w:val="1"/>
      <w:marLeft w:val="0"/>
      <w:marRight w:val="0"/>
      <w:marTop w:val="0"/>
      <w:marBottom w:val="0"/>
      <w:divBdr>
        <w:top w:val="none" w:sz="0" w:space="0" w:color="auto"/>
        <w:left w:val="none" w:sz="0" w:space="0" w:color="auto"/>
        <w:bottom w:val="none" w:sz="0" w:space="0" w:color="auto"/>
        <w:right w:val="none" w:sz="0" w:space="0" w:color="auto"/>
      </w:divBdr>
    </w:div>
    <w:div w:id="769854598">
      <w:bodyDiv w:val="1"/>
      <w:marLeft w:val="0"/>
      <w:marRight w:val="0"/>
      <w:marTop w:val="0"/>
      <w:marBottom w:val="0"/>
      <w:divBdr>
        <w:top w:val="none" w:sz="0" w:space="0" w:color="auto"/>
        <w:left w:val="none" w:sz="0" w:space="0" w:color="auto"/>
        <w:bottom w:val="none" w:sz="0" w:space="0" w:color="auto"/>
        <w:right w:val="none" w:sz="0" w:space="0" w:color="auto"/>
      </w:divBdr>
      <w:divsChild>
        <w:div w:id="870150847">
          <w:marLeft w:val="0"/>
          <w:marRight w:val="0"/>
          <w:marTop w:val="0"/>
          <w:marBottom w:val="0"/>
          <w:divBdr>
            <w:top w:val="none" w:sz="0" w:space="0" w:color="auto"/>
            <w:left w:val="none" w:sz="0" w:space="0" w:color="auto"/>
            <w:bottom w:val="none" w:sz="0" w:space="0" w:color="auto"/>
            <w:right w:val="none" w:sz="0" w:space="0" w:color="auto"/>
          </w:divBdr>
        </w:div>
        <w:div w:id="809130093">
          <w:marLeft w:val="0"/>
          <w:marRight w:val="0"/>
          <w:marTop w:val="0"/>
          <w:marBottom w:val="0"/>
          <w:divBdr>
            <w:top w:val="none" w:sz="0" w:space="0" w:color="auto"/>
            <w:left w:val="none" w:sz="0" w:space="0" w:color="auto"/>
            <w:bottom w:val="none" w:sz="0" w:space="0" w:color="auto"/>
            <w:right w:val="none" w:sz="0" w:space="0" w:color="auto"/>
          </w:divBdr>
        </w:div>
        <w:div w:id="1778715750">
          <w:marLeft w:val="0"/>
          <w:marRight w:val="0"/>
          <w:marTop w:val="0"/>
          <w:marBottom w:val="0"/>
          <w:divBdr>
            <w:top w:val="none" w:sz="0" w:space="0" w:color="auto"/>
            <w:left w:val="none" w:sz="0" w:space="0" w:color="auto"/>
            <w:bottom w:val="none" w:sz="0" w:space="0" w:color="auto"/>
            <w:right w:val="none" w:sz="0" w:space="0" w:color="auto"/>
          </w:divBdr>
        </w:div>
      </w:divsChild>
    </w:div>
    <w:div w:id="911113226">
      <w:bodyDiv w:val="1"/>
      <w:marLeft w:val="0"/>
      <w:marRight w:val="0"/>
      <w:marTop w:val="0"/>
      <w:marBottom w:val="0"/>
      <w:divBdr>
        <w:top w:val="none" w:sz="0" w:space="0" w:color="auto"/>
        <w:left w:val="none" w:sz="0" w:space="0" w:color="auto"/>
        <w:bottom w:val="none" w:sz="0" w:space="0" w:color="auto"/>
        <w:right w:val="none" w:sz="0" w:space="0" w:color="auto"/>
      </w:divBdr>
      <w:divsChild>
        <w:div w:id="658776276">
          <w:marLeft w:val="0"/>
          <w:marRight w:val="0"/>
          <w:marTop w:val="0"/>
          <w:marBottom w:val="0"/>
          <w:divBdr>
            <w:top w:val="none" w:sz="0" w:space="0" w:color="auto"/>
            <w:left w:val="none" w:sz="0" w:space="0" w:color="auto"/>
            <w:bottom w:val="none" w:sz="0" w:space="0" w:color="auto"/>
            <w:right w:val="none" w:sz="0" w:space="0" w:color="auto"/>
          </w:divBdr>
          <w:divsChild>
            <w:div w:id="218790348">
              <w:marLeft w:val="0"/>
              <w:marRight w:val="0"/>
              <w:marTop w:val="0"/>
              <w:marBottom w:val="0"/>
              <w:divBdr>
                <w:top w:val="none" w:sz="0" w:space="0" w:color="auto"/>
                <w:left w:val="none" w:sz="0" w:space="0" w:color="auto"/>
                <w:bottom w:val="none" w:sz="0" w:space="0" w:color="auto"/>
                <w:right w:val="none" w:sz="0" w:space="0" w:color="auto"/>
              </w:divBdr>
            </w:div>
          </w:divsChild>
        </w:div>
        <w:div w:id="96415943">
          <w:marLeft w:val="0"/>
          <w:marRight w:val="0"/>
          <w:marTop w:val="0"/>
          <w:marBottom w:val="0"/>
          <w:divBdr>
            <w:top w:val="none" w:sz="0" w:space="0" w:color="auto"/>
            <w:left w:val="none" w:sz="0" w:space="0" w:color="auto"/>
            <w:bottom w:val="none" w:sz="0" w:space="0" w:color="auto"/>
            <w:right w:val="none" w:sz="0" w:space="0" w:color="auto"/>
          </w:divBdr>
          <w:divsChild>
            <w:div w:id="1967735389">
              <w:marLeft w:val="0"/>
              <w:marRight w:val="0"/>
              <w:marTop w:val="0"/>
              <w:marBottom w:val="0"/>
              <w:divBdr>
                <w:top w:val="none" w:sz="0" w:space="0" w:color="auto"/>
                <w:left w:val="none" w:sz="0" w:space="0" w:color="auto"/>
                <w:bottom w:val="none" w:sz="0" w:space="0" w:color="auto"/>
                <w:right w:val="none" w:sz="0" w:space="0" w:color="auto"/>
              </w:divBdr>
            </w:div>
            <w:div w:id="1948464315">
              <w:marLeft w:val="0"/>
              <w:marRight w:val="0"/>
              <w:marTop w:val="0"/>
              <w:marBottom w:val="0"/>
              <w:divBdr>
                <w:top w:val="none" w:sz="0" w:space="0" w:color="auto"/>
                <w:left w:val="none" w:sz="0" w:space="0" w:color="auto"/>
                <w:bottom w:val="none" w:sz="0" w:space="0" w:color="auto"/>
                <w:right w:val="none" w:sz="0" w:space="0" w:color="auto"/>
              </w:divBdr>
            </w:div>
          </w:divsChild>
        </w:div>
        <w:div w:id="297226856">
          <w:marLeft w:val="0"/>
          <w:marRight w:val="0"/>
          <w:marTop w:val="0"/>
          <w:marBottom w:val="0"/>
          <w:divBdr>
            <w:top w:val="none" w:sz="0" w:space="0" w:color="auto"/>
            <w:left w:val="none" w:sz="0" w:space="0" w:color="auto"/>
            <w:bottom w:val="none" w:sz="0" w:space="0" w:color="auto"/>
            <w:right w:val="none" w:sz="0" w:space="0" w:color="auto"/>
          </w:divBdr>
          <w:divsChild>
            <w:div w:id="1800109349">
              <w:marLeft w:val="0"/>
              <w:marRight w:val="0"/>
              <w:marTop w:val="0"/>
              <w:marBottom w:val="0"/>
              <w:divBdr>
                <w:top w:val="none" w:sz="0" w:space="0" w:color="auto"/>
                <w:left w:val="none" w:sz="0" w:space="0" w:color="auto"/>
                <w:bottom w:val="none" w:sz="0" w:space="0" w:color="auto"/>
                <w:right w:val="none" w:sz="0" w:space="0" w:color="auto"/>
              </w:divBdr>
            </w:div>
            <w:div w:id="704604038">
              <w:marLeft w:val="0"/>
              <w:marRight w:val="0"/>
              <w:marTop w:val="0"/>
              <w:marBottom w:val="0"/>
              <w:divBdr>
                <w:top w:val="none" w:sz="0" w:space="0" w:color="auto"/>
                <w:left w:val="none" w:sz="0" w:space="0" w:color="auto"/>
                <w:bottom w:val="none" w:sz="0" w:space="0" w:color="auto"/>
                <w:right w:val="none" w:sz="0" w:space="0" w:color="auto"/>
              </w:divBdr>
            </w:div>
            <w:div w:id="472723886">
              <w:marLeft w:val="0"/>
              <w:marRight w:val="0"/>
              <w:marTop w:val="0"/>
              <w:marBottom w:val="0"/>
              <w:divBdr>
                <w:top w:val="none" w:sz="0" w:space="0" w:color="auto"/>
                <w:left w:val="none" w:sz="0" w:space="0" w:color="auto"/>
                <w:bottom w:val="none" w:sz="0" w:space="0" w:color="auto"/>
                <w:right w:val="none" w:sz="0" w:space="0" w:color="auto"/>
              </w:divBdr>
            </w:div>
            <w:div w:id="1828128222">
              <w:marLeft w:val="0"/>
              <w:marRight w:val="0"/>
              <w:marTop w:val="0"/>
              <w:marBottom w:val="0"/>
              <w:divBdr>
                <w:top w:val="none" w:sz="0" w:space="0" w:color="auto"/>
                <w:left w:val="none" w:sz="0" w:space="0" w:color="auto"/>
                <w:bottom w:val="none" w:sz="0" w:space="0" w:color="auto"/>
                <w:right w:val="none" w:sz="0" w:space="0" w:color="auto"/>
              </w:divBdr>
            </w:div>
          </w:divsChild>
        </w:div>
        <w:div w:id="1972974166">
          <w:marLeft w:val="0"/>
          <w:marRight w:val="0"/>
          <w:marTop w:val="0"/>
          <w:marBottom w:val="0"/>
          <w:divBdr>
            <w:top w:val="none" w:sz="0" w:space="0" w:color="auto"/>
            <w:left w:val="none" w:sz="0" w:space="0" w:color="auto"/>
            <w:bottom w:val="none" w:sz="0" w:space="0" w:color="auto"/>
            <w:right w:val="none" w:sz="0" w:space="0" w:color="auto"/>
          </w:divBdr>
        </w:div>
      </w:divsChild>
    </w:div>
    <w:div w:id="929657761">
      <w:bodyDiv w:val="1"/>
      <w:marLeft w:val="0"/>
      <w:marRight w:val="0"/>
      <w:marTop w:val="0"/>
      <w:marBottom w:val="0"/>
      <w:divBdr>
        <w:top w:val="none" w:sz="0" w:space="0" w:color="auto"/>
        <w:left w:val="none" w:sz="0" w:space="0" w:color="auto"/>
        <w:bottom w:val="none" w:sz="0" w:space="0" w:color="auto"/>
        <w:right w:val="none" w:sz="0" w:space="0" w:color="auto"/>
      </w:divBdr>
    </w:div>
    <w:div w:id="1012146879">
      <w:bodyDiv w:val="1"/>
      <w:marLeft w:val="0"/>
      <w:marRight w:val="0"/>
      <w:marTop w:val="0"/>
      <w:marBottom w:val="0"/>
      <w:divBdr>
        <w:top w:val="none" w:sz="0" w:space="0" w:color="auto"/>
        <w:left w:val="none" w:sz="0" w:space="0" w:color="auto"/>
        <w:bottom w:val="none" w:sz="0" w:space="0" w:color="auto"/>
        <w:right w:val="none" w:sz="0" w:space="0" w:color="auto"/>
      </w:divBdr>
    </w:div>
    <w:div w:id="1114403583">
      <w:bodyDiv w:val="1"/>
      <w:marLeft w:val="0"/>
      <w:marRight w:val="0"/>
      <w:marTop w:val="0"/>
      <w:marBottom w:val="0"/>
      <w:divBdr>
        <w:top w:val="none" w:sz="0" w:space="0" w:color="auto"/>
        <w:left w:val="none" w:sz="0" w:space="0" w:color="auto"/>
        <w:bottom w:val="none" w:sz="0" w:space="0" w:color="auto"/>
        <w:right w:val="none" w:sz="0" w:space="0" w:color="auto"/>
      </w:divBdr>
    </w:div>
    <w:div w:id="1139768100">
      <w:bodyDiv w:val="1"/>
      <w:marLeft w:val="0"/>
      <w:marRight w:val="0"/>
      <w:marTop w:val="0"/>
      <w:marBottom w:val="0"/>
      <w:divBdr>
        <w:top w:val="none" w:sz="0" w:space="0" w:color="auto"/>
        <w:left w:val="none" w:sz="0" w:space="0" w:color="auto"/>
        <w:bottom w:val="none" w:sz="0" w:space="0" w:color="auto"/>
        <w:right w:val="none" w:sz="0" w:space="0" w:color="auto"/>
      </w:divBdr>
    </w:div>
    <w:div w:id="1143691749">
      <w:bodyDiv w:val="1"/>
      <w:marLeft w:val="0"/>
      <w:marRight w:val="0"/>
      <w:marTop w:val="0"/>
      <w:marBottom w:val="0"/>
      <w:divBdr>
        <w:top w:val="none" w:sz="0" w:space="0" w:color="auto"/>
        <w:left w:val="none" w:sz="0" w:space="0" w:color="auto"/>
        <w:bottom w:val="none" w:sz="0" w:space="0" w:color="auto"/>
        <w:right w:val="none" w:sz="0" w:space="0" w:color="auto"/>
      </w:divBdr>
    </w:div>
    <w:div w:id="1205602137">
      <w:bodyDiv w:val="1"/>
      <w:marLeft w:val="0"/>
      <w:marRight w:val="0"/>
      <w:marTop w:val="0"/>
      <w:marBottom w:val="0"/>
      <w:divBdr>
        <w:top w:val="none" w:sz="0" w:space="0" w:color="auto"/>
        <w:left w:val="none" w:sz="0" w:space="0" w:color="auto"/>
        <w:bottom w:val="none" w:sz="0" w:space="0" w:color="auto"/>
        <w:right w:val="none" w:sz="0" w:space="0" w:color="auto"/>
      </w:divBdr>
      <w:divsChild>
        <w:div w:id="225261821">
          <w:marLeft w:val="0"/>
          <w:marRight w:val="0"/>
          <w:marTop w:val="0"/>
          <w:marBottom w:val="0"/>
          <w:divBdr>
            <w:top w:val="none" w:sz="0" w:space="0" w:color="auto"/>
            <w:left w:val="none" w:sz="0" w:space="0" w:color="auto"/>
            <w:bottom w:val="none" w:sz="0" w:space="0" w:color="auto"/>
            <w:right w:val="none" w:sz="0" w:space="0" w:color="auto"/>
          </w:divBdr>
          <w:divsChild>
            <w:div w:id="211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07641">
      <w:bodyDiv w:val="1"/>
      <w:marLeft w:val="0"/>
      <w:marRight w:val="0"/>
      <w:marTop w:val="0"/>
      <w:marBottom w:val="0"/>
      <w:divBdr>
        <w:top w:val="none" w:sz="0" w:space="0" w:color="auto"/>
        <w:left w:val="none" w:sz="0" w:space="0" w:color="auto"/>
        <w:bottom w:val="none" w:sz="0" w:space="0" w:color="auto"/>
        <w:right w:val="none" w:sz="0" w:space="0" w:color="auto"/>
      </w:divBdr>
    </w:div>
    <w:div w:id="1491022906">
      <w:bodyDiv w:val="1"/>
      <w:marLeft w:val="0"/>
      <w:marRight w:val="0"/>
      <w:marTop w:val="0"/>
      <w:marBottom w:val="0"/>
      <w:divBdr>
        <w:top w:val="none" w:sz="0" w:space="0" w:color="auto"/>
        <w:left w:val="none" w:sz="0" w:space="0" w:color="auto"/>
        <w:bottom w:val="none" w:sz="0" w:space="0" w:color="auto"/>
        <w:right w:val="none" w:sz="0" w:space="0" w:color="auto"/>
      </w:divBdr>
    </w:div>
    <w:div w:id="1519927582">
      <w:bodyDiv w:val="1"/>
      <w:marLeft w:val="0"/>
      <w:marRight w:val="0"/>
      <w:marTop w:val="0"/>
      <w:marBottom w:val="0"/>
      <w:divBdr>
        <w:top w:val="none" w:sz="0" w:space="0" w:color="auto"/>
        <w:left w:val="none" w:sz="0" w:space="0" w:color="auto"/>
        <w:bottom w:val="none" w:sz="0" w:space="0" w:color="auto"/>
        <w:right w:val="none" w:sz="0" w:space="0" w:color="auto"/>
      </w:divBdr>
    </w:div>
    <w:div w:id="1569144236">
      <w:bodyDiv w:val="1"/>
      <w:marLeft w:val="0"/>
      <w:marRight w:val="0"/>
      <w:marTop w:val="0"/>
      <w:marBottom w:val="0"/>
      <w:divBdr>
        <w:top w:val="none" w:sz="0" w:space="0" w:color="auto"/>
        <w:left w:val="none" w:sz="0" w:space="0" w:color="auto"/>
        <w:bottom w:val="none" w:sz="0" w:space="0" w:color="auto"/>
        <w:right w:val="none" w:sz="0" w:space="0" w:color="auto"/>
      </w:divBdr>
      <w:divsChild>
        <w:div w:id="704718363">
          <w:marLeft w:val="0"/>
          <w:marRight w:val="0"/>
          <w:marTop w:val="0"/>
          <w:marBottom w:val="0"/>
          <w:divBdr>
            <w:top w:val="none" w:sz="0" w:space="0" w:color="auto"/>
            <w:left w:val="none" w:sz="0" w:space="0" w:color="auto"/>
            <w:bottom w:val="none" w:sz="0" w:space="0" w:color="auto"/>
            <w:right w:val="none" w:sz="0" w:space="0" w:color="auto"/>
          </w:divBdr>
          <w:divsChild>
            <w:div w:id="1366642504">
              <w:marLeft w:val="0"/>
              <w:marRight w:val="0"/>
              <w:marTop w:val="0"/>
              <w:marBottom w:val="0"/>
              <w:divBdr>
                <w:top w:val="none" w:sz="0" w:space="0" w:color="auto"/>
                <w:left w:val="none" w:sz="0" w:space="0" w:color="auto"/>
                <w:bottom w:val="none" w:sz="0" w:space="0" w:color="auto"/>
                <w:right w:val="none" w:sz="0" w:space="0" w:color="auto"/>
              </w:divBdr>
            </w:div>
          </w:divsChild>
        </w:div>
        <w:div w:id="1746492308">
          <w:marLeft w:val="0"/>
          <w:marRight w:val="0"/>
          <w:marTop w:val="0"/>
          <w:marBottom w:val="0"/>
          <w:divBdr>
            <w:top w:val="none" w:sz="0" w:space="0" w:color="auto"/>
            <w:left w:val="none" w:sz="0" w:space="0" w:color="auto"/>
            <w:bottom w:val="none" w:sz="0" w:space="0" w:color="auto"/>
            <w:right w:val="none" w:sz="0" w:space="0" w:color="auto"/>
          </w:divBdr>
        </w:div>
        <w:div w:id="1380010255">
          <w:marLeft w:val="0"/>
          <w:marRight w:val="0"/>
          <w:marTop w:val="0"/>
          <w:marBottom w:val="0"/>
          <w:divBdr>
            <w:top w:val="none" w:sz="0" w:space="0" w:color="auto"/>
            <w:left w:val="none" w:sz="0" w:space="0" w:color="auto"/>
            <w:bottom w:val="none" w:sz="0" w:space="0" w:color="auto"/>
            <w:right w:val="none" w:sz="0" w:space="0" w:color="auto"/>
          </w:divBdr>
        </w:div>
        <w:div w:id="1893539581">
          <w:marLeft w:val="0"/>
          <w:marRight w:val="0"/>
          <w:marTop w:val="0"/>
          <w:marBottom w:val="0"/>
          <w:divBdr>
            <w:top w:val="none" w:sz="0" w:space="0" w:color="auto"/>
            <w:left w:val="none" w:sz="0" w:space="0" w:color="auto"/>
            <w:bottom w:val="none" w:sz="0" w:space="0" w:color="auto"/>
            <w:right w:val="none" w:sz="0" w:space="0" w:color="auto"/>
          </w:divBdr>
        </w:div>
      </w:divsChild>
    </w:div>
    <w:div w:id="1978795128">
      <w:bodyDiv w:val="1"/>
      <w:marLeft w:val="0"/>
      <w:marRight w:val="0"/>
      <w:marTop w:val="0"/>
      <w:marBottom w:val="0"/>
      <w:divBdr>
        <w:top w:val="none" w:sz="0" w:space="0" w:color="auto"/>
        <w:left w:val="none" w:sz="0" w:space="0" w:color="auto"/>
        <w:bottom w:val="none" w:sz="0" w:space="0" w:color="auto"/>
        <w:right w:val="none" w:sz="0" w:space="0" w:color="auto"/>
      </w:divBdr>
    </w:div>
    <w:div w:id="2084718343">
      <w:bodyDiv w:val="1"/>
      <w:marLeft w:val="0"/>
      <w:marRight w:val="0"/>
      <w:marTop w:val="0"/>
      <w:marBottom w:val="0"/>
      <w:divBdr>
        <w:top w:val="none" w:sz="0" w:space="0" w:color="auto"/>
        <w:left w:val="none" w:sz="0" w:space="0" w:color="auto"/>
        <w:bottom w:val="none" w:sz="0" w:space="0" w:color="auto"/>
        <w:right w:val="none" w:sz="0" w:space="0" w:color="auto"/>
      </w:divBdr>
      <w:divsChild>
        <w:div w:id="1136527874">
          <w:marLeft w:val="0"/>
          <w:marRight w:val="0"/>
          <w:marTop w:val="0"/>
          <w:marBottom w:val="0"/>
          <w:divBdr>
            <w:top w:val="none" w:sz="0" w:space="0" w:color="auto"/>
            <w:left w:val="none" w:sz="0" w:space="0" w:color="auto"/>
            <w:bottom w:val="none" w:sz="0" w:space="0" w:color="auto"/>
            <w:right w:val="none" w:sz="0" w:space="0" w:color="auto"/>
          </w:divBdr>
          <w:divsChild>
            <w:div w:id="16028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41425">
      <w:bodyDiv w:val="1"/>
      <w:marLeft w:val="0"/>
      <w:marRight w:val="0"/>
      <w:marTop w:val="0"/>
      <w:marBottom w:val="0"/>
      <w:divBdr>
        <w:top w:val="none" w:sz="0" w:space="0" w:color="auto"/>
        <w:left w:val="none" w:sz="0" w:space="0" w:color="auto"/>
        <w:bottom w:val="none" w:sz="0" w:space="0" w:color="auto"/>
        <w:right w:val="none" w:sz="0" w:space="0" w:color="auto"/>
      </w:divBdr>
      <w:divsChild>
        <w:div w:id="2023625419">
          <w:marLeft w:val="0"/>
          <w:marRight w:val="0"/>
          <w:marTop w:val="0"/>
          <w:marBottom w:val="0"/>
          <w:divBdr>
            <w:top w:val="none" w:sz="0" w:space="0" w:color="auto"/>
            <w:left w:val="none" w:sz="0" w:space="0" w:color="auto"/>
            <w:bottom w:val="none" w:sz="0" w:space="0" w:color="auto"/>
            <w:right w:val="none" w:sz="0" w:space="0" w:color="auto"/>
          </w:divBdr>
          <w:divsChild>
            <w:div w:id="1259367668">
              <w:marLeft w:val="0"/>
              <w:marRight w:val="0"/>
              <w:marTop w:val="0"/>
              <w:marBottom w:val="0"/>
              <w:divBdr>
                <w:top w:val="none" w:sz="0" w:space="0" w:color="auto"/>
                <w:left w:val="none" w:sz="0" w:space="0" w:color="auto"/>
                <w:bottom w:val="none" w:sz="0" w:space="0" w:color="auto"/>
                <w:right w:val="none" w:sz="0" w:space="0" w:color="auto"/>
              </w:divBdr>
            </w:div>
          </w:divsChild>
        </w:div>
        <w:div w:id="578559546">
          <w:marLeft w:val="0"/>
          <w:marRight w:val="0"/>
          <w:marTop w:val="0"/>
          <w:marBottom w:val="0"/>
          <w:divBdr>
            <w:top w:val="none" w:sz="0" w:space="0" w:color="auto"/>
            <w:left w:val="none" w:sz="0" w:space="0" w:color="auto"/>
            <w:bottom w:val="none" w:sz="0" w:space="0" w:color="auto"/>
            <w:right w:val="none" w:sz="0" w:space="0" w:color="auto"/>
          </w:divBdr>
          <w:divsChild>
            <w:div w:id="2017685700">
              <w:marLeft w:val="0"/>
              <w:marRight w:val="0"/>
              <w:marTop w:val="0"/>
              <w:marBottom w:val="0"/>
              <w:divBdr>
                <w:top w:val="none" w:sz="0" w:space="0" w:color="auto"/>
                <w:left w:val="none" w:sz="0" w:space="0" w:color="auto"/>
                <w:bottom w:val="none" w:sz="0" w:space="0" w:color="auto"/>
                <w:right w:val="none" w:sz="0" w:space="0" w:color="auto"/>
              </w:divBdr>
            </w:div>
            <w:div w:id="726952311">
              <w:marLeft w:val="0"/>
              <w:marRight w:val="0"/>
              <w:marTop w:val="0"/>
              <w:marBottom w:val="0"/>
              <w:divBdr>
                <w:top w:val="none" w:sz="0" w:space="0" w:color="auto"/>
                <w:left w:val="none" w:sz="0" w:space="0" w:color="auto"/>
                <w:bottom w:val="none" w:sz="0" w:space="0" w:color="auto"/>
                <w:right w:val="none" w:sz="0" w:space="0" w:color="auto"/>
              </w:divBdr>
            </w:div>
          </w:divsChild>
        </w:div>
        <w:div w:id="498548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nam10.safelinks.protection.outlook.com/?url=https%3A%2F%2Ftaxation-customs.ec.europa.eu%2Fdocument%2Fdownload%2Fbc15e68d-566d-4419-88ec-b8f5c6823eb2_en%3Ffilename%3DTAXUD-2023-01189-01-00-EN-ORI-00.pdf&amp;data=05%7C02%7Cjmalcore%40aem.org%7C2bc8a973d97c4137ccf908ddad1930fd%7C57778a97d4144290a93826ca7120b0ed%7C0%7C0%7C638857045899293881%7CUnknown%7CTWFpbGZsb3d8eyJFbXB0eU1hcGkiOnRydWUsIlYiOiIwLjAuMDAwMCIsIlAiOiJXaW4zMiIsIkFOIjoiTWFpbCIsIldUIjoyfQ%3D%3D%7C0%7C%7C%7C&amp;sdata=BDZUUxWIgL7qZbyWtUBNSvZm9tKNMOPM8loo4l5gdl8%3D&amp;reserved=0" TargetMode="External"/><Relationship Id="rId3" Type="http://schemas.openxmlformats.org/officeDocument/2006/relationships/customXml" Target="../customXml/item3.xml"/><Relationship Id="rId21" Type="http://schemas.openxmlformats.org/officeDocument/2006/relationships/hyperlink" Target="https://nam10.safelinks.protection.outlook.com/?url=https%3A%2F%2Fcustoms-taxation.learning.europa.eu%2Fpluginfile.php%2F34635%2Fmod_resource%2Fcontent%2F2%2FCourse%2520Takeaways.pdf&amp;data=05%7C02%7Cjmalcore%40aem.org%7C2bc8a973d97c4137ccf908ddad1930fd%7C57778a97d4144290a93826ca7120b0ed%7C0%7C0%7C638857045898804641%7CUnknown%7CTWFpbGZsb3d8eyJFbXB0eU1hcGkiOnRydWUsIlYiOiIwLjAuMDAwMCIsIlAiOiJXaW4zMiIsIkFOIjoiTWFpbCIsIldUIjoyfQ%3D%3D%7C0%7C%7C%7C&amp;sdata=V8iIcDREhJsFy3aQ%2BxKZqFjaE3CAwX87o%2FySQ3ETt8Y%3D&amp;reserved=0"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ur-lex.europa.eu/eli/reg_impl/2023/1773/oj/eng" TargetMode="External"/><Relationship Id="rId17" Type="http://schemas.openxmlformats.org/officeDocument/2006/relationships/image" Target="media/image6.png"/><Relationship Id="rId25" Type="http://schemas.openxmlformats.org/officeDocument/2006/relationships/hyperlink" Target="https://nam10.safelinks.protection.outlook.com/?url=https%3A%2F%2Fcustoms-taxation.learning.europa.eu%2Fcourse%2Fview.php%3Fid%3D874%26section%3D1&amp;data=05%7C02%7Cjmalcore%40aem.org%7C2bc8a973d97c4137ccf908ddad1930fd%7C57778a97d4144290a93826ca7120b0ed%7C0%7C0%7C638857045899280079%7CUnknown%7CTWFpbGZsb3d8eyJFbXB0eU1hcGkiOnRydWUsIlYiOiIwLjAuMDAwMCIsIlAiOiJXaW4zMiIsIkFOIjoiTWFpbCIsIldUIjoyfQ%3D%3D%7C0%7C%7C%7C&amp;sdata=%2B6joolgBOQ%2B7SYia3NIpNAH9sfCMzY7Aby4sm5eA2io%3D&amp;reserved=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nam10.safelinks.protection.outlook.com/?url=https%3A%2F%2Fwww.epa.gov%2Fsystem%2Ffiles%2Fdocuments%2F2025-01%2Fghg-emission-factors-hub-2025.pdf&amp;data=05%7C02%7Cjmalcore%40aem.org%7C2bc8a973d97c4137ccf908ddad1930fd%7C57778a97d4144290a93826ca7120b0ed%7C0%7C0%7C638857045899338332%7CUnknown%7CTWFpbGZsb3d8eyJFbXB0eU1hcGkiOnRydWUsIlYiOiIwLjAuMDAwMCIsIlAiOiJXaW4zMiIsIkFOIjoiTWFpbCIsIldUIjoyfQ%3D%3D%7C0%7C%7C%7C&amp;sdata=XHD%2BV%2BXLK6aKqAlsFep9fTHUcH7XHfZtFmZ4d7qHtN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nam10.safelinks.protection.outlook.com/?url=https%3A%2F%2Feur-lex.europa.eu%2Flegal-content%2FEN%2FTXT%2F%3Furi%3DOJ%253AJOL_2023_228_R_0006%23d1e40-94-1&amp;data=05%7C02%7Cjmalcore%40aem.org%7C2bc8a973d97c4137ccf908ddad1930fd%7C57778a97d4144290a93826ca7120b0ed%7C0%7C0%7C638857045899265732%7CUnknown%7CTWFpbGZsb3d8eyJFbXB0eU1hcGkiOnRydWUsIlYiOiIwLjAuMDAwMCIsIlAiOiJXaW4zMiIsIkFOIjoiTWFpbCIsIldUIjoyfQ%3D%3D%7C0%7C%7C%7C&amp;sdata=llsCugGYEs2da%2ByAjTEGhWMzbNjvNAfx3Q%2F2hEAE5yk%3D&amp;reserved=0"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nam10.safelinks.protection.outlook.com/?url=https%3A%2F%2Feur-lex.europa.eu%2Flegal-content%2FEN%2FTXT%2F%3Furi%3Duriserv%253AOJ.L_.2023.130.01.0052.01.ENG%26toc%3DOJ%253AL%253A2023%253A130%253ATOC&amp;data=05%7C02%7Cjmalcore%40aem.org%7C2bc8a973d97c4137ccf908ddad1930fd%7C57778a97d4144290a93826ca7120b0ed%7C0%7C0%7C638857045899243817%7CUnknown%7CTWFpbGZsb3d8eyJFbXB0eU1hcGkiOnRydWUsIlYiOiIwLjAuMDAwMCIsIlAiOiJXaW4zMiIsIkFOIjoiTWFpbCIsIldUIjoyfQ%3D%3D%7C0%7C%7C%7C&amp;sdata=pp%2B3jZCIaTKjKGXuws7Fh2LzRij9DBjCNlyKsiWAdV8%3D&amp;reserved=0" TargetMode="External"/><Relationship Id="rId28" Type="http://schemas.openxmlformats.org/officeDocument/2006/relationships/hyperlink" Target="https://nam10.safelinks.protection.outlook.com/?url=https%3A%2F%2Fourworldindata.org%2Fgrapher%2Fcarbon-intensity-electricity&amp;data=05%7C02%7Cjmalcore%40aem.org%7C2bc8a973d97c4137ccf908ddad1930fd%7C57778a97d4144290a93826ca7120b0ed%7C0%7C0%7C638857045899322222%7CUnknown%7CTWFpbGZsb3d8eyJFbXB0eU1hcGkiOnRydWUsIlYiOiIwLjAuMDAwMCIsIlAiOiJXaW4zMiIsIkFOIjoiTWFpbCIsIldUIjoyfQ%3D%3D%7C0%7C%7C%7C&amp;sdata=fVTwzZpfUDF3ZPU3YOrNCVKW1xrB6vIGPZnqJj8GEKI%3D&amp;reserved=0"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worldsteel.org/wider-sustainability/sustainability-indicat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nam10.safelinks.protection.outlook.com/?url=https%3A%2F%2Ftaxation-customs.ec.europa.eu%2Fcarbon-border-adjustment-mechanism_en&amp;data=05%7C02%7Cjmalcore%40aem.org%7C2bc8a973d97c4137ccf908ddad1930fd%7C57778a97d4144290a93826ca7120b0ed%7C0%7C0%7C638857045898832727%7CUnknown%7CTWFpbGZsb3d8eyJFbXB0eU1hcGkiOnRydWUsIlYiOiIwLjAuMDAwMCIsIlAiOiJXaW4zMiIsIkFOIjoiTWFpbCIsIldUIjoyfQ%3D%3D%7C0%7C%7C%7C&amp;sdata=F70Dhd%2BGBTL1pMZW0OLWgBzKsjKxxjoE%2FDY9hy9f%2FOs%3D&amp;reserved=0" TargetMode="External"/><Relationship Id="rId27" Type="http://schemas.openxmlformats.org/officeDocument/2006/relationships/hyperlink" Target="https://nam10.safelinks.protection.outlook.com/?url=https%3A%2F%2Ftaxation-customs.ec.europa.eu%2Fdocument%2Fdownload%2F013fa763-5dce-4726-a204-69fec04d5ce2_en%3Ffilename%3DCBAM_Questions%2520and%2520Answers.pdf&amp;data=05%7C02%7Cjmalcore%40aem.org%7C2bc8a973d97c4137ccf908ddad1930fd%7C57778a97d4144290a93826ca7120b0ed%7C0%7C0%7C638857045899307976%7CUnknown%7CTWFpbGZsb3d8eyJFbXB0eU1hcGkiOnRydWUsIlYiOiIwLjAuMDAwMCIsIlAiOiJXaW4zMiIsIkFOIjoiTWFpbCIsIldUIjoyfQ%3D%3D%7C0%7C%7C%7C&amp;sdata=9YLcvjNB68R9Wk3Rp%2FHWkT%2Fxrn8uIZb4kozwfLhpS1w%3D&amp;reserved=0" TargetMode="External"/><Relationship Id="rId30" Type="http://schemas.openxmlformats.org/officeDocument/2006/relationships/hyperlink" Target="https://www.climatiq.io/data/explorer?search=metal_products-type_bolt_nut_screw_rivet_and_washer&amp;page=1&amp;data_version=%5E32"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23/956/oj" TargetMode="External"/><Relationship Id="rId2" Type="http://schemas.openxmlformats.org/officeDocument/2006/relationships/hyperlink" Target="https://eur-lex.europa.eu/eli/reg_impl/2023/1773/oj" TargetMode="External"/><Relationship Id="rId1" Type="http://schemas.openxmlformats.org/officeDocument/2006/relationships/hyperlink" Target="https://eur-lex.europa.eu/eli/reg/2023/956/oj" TargetMode="External"/><Relationship Id="rId4" Type="http://schemas.openxmlformats.org/officeDocument/2006/relationships/hyperlink" Target="https://taxation-customs.ec.europa.eu/carbon-border-adjustment-mechanism/cbam-legislation-and-guidanc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30ee5a7-5321-4751-8dac-f10b71c9fd2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9ED079C80FC4792B17B89E60B086F" ma:contentTypeVersion="17" ma:contentTypeDescription="Create a new document." ma:contentTypeScope="" ma:versionID="df8c8a7b7054362834d2fb53b9eef5f2">
  <xsd:schema xmlns:xsd="http://www.w3.org/2001/XMLSchema" xmlns:xs="http://www.w3.org/2001/XMLSchema" xmlns:p="http://schemas.microsoft.com/office/2006/metadata/properties" xmlns:ns3="530ee5a7-5321-4751-8dac-f10b71c9fd22" xmlns:ns4="793d19b6-e096-4822-9206-7267e9ceed36" targetNamespace="http://schemas.microsoft.com/office/2006/metadata/properties" ma:root="true" ma:fieldsID="a2a607fdbf6e24b2ab46013691561617" ns3:_="" ns4:_="">
    <xsd:import namespace="530ee5a7-5321-4751-8dac-f10b71c9fd22"/>
    <xsd:import namespace="793d19b6-e096-4822-9206-7267e9ceed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ee5a7-5321-4751-8dac-f10b71c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d19b6-e096-4822-9206-7267e9ceed3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120AA-2034-4764-B8D4-A3A729557EB5}">
  <ds:schemaRefs>
    <ds:schemaRef ds:uri="http://schemas.microsoft.com/sharepoint/v3/contenttype/forms"/>
  </ds:schemaRefs>
</ds:datastoreItem>
</file>

<file path=customXml/itemProps2.xml><?xml version="1.0" encoding="utf-8"?>
<ds:datastoreItem xmlns:ds="http://schemas.openxmlformats.org/officeDocument/2006/customXml" ds:itemID="{DF27174A-AD19-4AD2-B710-E9F7BD1F1732}">
  <ds:schemaRefs>
    <ds:schemaRef ds:uri="http://schemas.microsoft.com/office/2006/metadata/properties"/>
    <ds:schemaRef ds:uri="http://schemas.microsoft.com/office/infopath/2007/PartnerControls"/>
    <ds:schemaRef ds:uri="530ee5a7-5321-4751-8dac-f10b71c9fd22"/>
  </ds:schemaRefs>
</ds:datastoreItem>
</file>

<file path=customXml/itemProps3.xml><?xml version="1.0" encoding="utf-8"?>
<ds:datastoreItem xmlns:ds="http://schemas.openxmlformats.org/officeDocument/2006/customXml" ds:itemID="{53F5469A-6974-40AF-859F-68F0F6B925A8}">
  <ds:schemaRefs>
    <ds:schemaRef ds:uri="http://schemas.openxmlformats.org/officeDocument/2006/bibliography"/>
  </ds:schemaRefs>
</ds:datastoreItem>
</file>

<file path=customXml/itemProps4.xml><?xml version="1.0" encoding="utf-8"?>
<ds:datastoreItem xmlns:ds="http://schemas.openxmlformats.org/officeDocument/2006/customXml" ds:itemID="{1AFE2C2F-5B7C-4CAE-9240-9737A8579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ee5a7-5321-4751-8dac-f10b71c9fd22"/>
    <ds:schemaRef ds:uri="793d19b6-e096-4822-9206-7267e9cee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5412</Words>
  <Characters>35019</Characters>
  <Application>Microsoft Office Word</Application>
  <DocSecurity>0</DocSecurity>
  <Lines>530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Amendola</dc:creator>
  <cp:keywords/>
  <dc:description/>
  <cp:lastModifiedBy>Jason Malcore</cp:lastModifiedBy>
  <cp:revision>2</cp:revision>
  <dcterms:created xsi:type="dcterms:W3CDTF">2026-06-29T15:21:00Z</dcterms:created>
  <dcterms:modified xsi:type="dcterms:W3CDTF">2026-06-29T15:21:00Z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0x0101001439ED079C80FC4792B17B89E60B086F</vt:lpwstr>
  </property>
</Properties>
</file>